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rPr>
          <w:lang w:val="de-DE"/>
        </w:rPr>
      </w:pPr>
    </w:p>
    <w:p w:rsidR="00E95128" w:rsidRDefault="00E95128" w:rsidP="00E95128">
      <w:pPr>
        <w:jc w:val="center"/>
        <w:rPr>
          <w:b/>
          <w:sz w:val="52"/>
          <w:lang w:val="de-DE"/>
        </w:rPr>
      </w:pPr>
      <w:r>
        <w:rPr>
          <w:b/>
          <w:sz w:val="52"/>
          <w:lang w:val="de-DE"/>
        </w:rPr>
        <w:t xml:space="preserve">Illustrativer Jahresabschluss </w:t>
      </w:r>
    </w:p>
    <w:p w:rsidR="00E95128" w:rsidRDefault="00E95128" w:rsidP="00E95128">
      <w:pPr>
        <w:jc w:val="center"/>
        <w:rPr>
          <w:b/>
          <w:sz w:val="40"/>
          <w:lang w:val="de-DE"/>
        </w:rPr>
      </w:pPr>
      <w:r>
        <w:rPr>
          <w:b/>
          <w:sz w:val="40"/>
          <w:lang w:val="de-DE"/>
        </w:rPr>
        <w:t xml:space="preserve">erstellt in Übereinstimmung mit den slowakischen gesetzlichen Vorschriften </w:t>
      </w:r>
    </w:p>
    <w:p w:rsidR="00E95128" w:rsidRDefault="00E95128" w:rsidP="00E95128">
      <w:pPr>
        <w:jc w:val="center"/>
        <w:rPr>
          <w:b/>
          <w:sz w:val="40"/>
          <w:lang w:val="de-DE"/>
        </w:rPr>
      </w:pPr>
      <w:r>
        <w:rPr>
          <w:b/>
          <w:sz w:val="40"/>
          <w:lang w:val="de-DE"/>
        </w:rPr>
        <w:t xml:space="preserve">zum 31. Dezember </w:t>
      </w:r>
      <w:r w:rsidR="00AC507A">
        <w:rPr>
          <w:b/>
          <w:sz w:val="40"/>
          <w:lang w:val="de-DE"/>
        </w:rPr>
        <w:t>201</w:t>
      </w:r>
      <w:r w:rsidR="009078CD">
        <w:rPr>
          <w:b/>
          <w:sz w:val="40"/>
          <w:lang w:val="de-DE"/>
        </w:rPr>
        <w:t>3</w:t>
      </w:r>
    </w:p>
    <w:p w:rsidR="00E95128" w:rsidRDefault="00E95128" w:rsidP="00E95128">
      <w:pPr>
        <w:jc w:val="center"/>
        <w:rPr>
          <w:b/>
          <w:sz w:val="24"/>
          <w:lang w:val="de-DE"/>
        </w:rPr>
      </w:pPr>
      <w:r>
        <w:rPr>
          <w:b/>
          <w:sz w:val="24"/>
          <w:lang w:val="de-DE"/>
        </w:rPr>
        <w:t>(Übersetzung)</w:t>
      </w:r>
    </w:p>
    <w:p w:rsidR="00E95128" w:rsidRDefault="00E95128" w:rsidP="00E95128">
      <w:pPr>
        <w:jc w:val="center"/>
        <w:rPr>
          <w:b/>
          <w:sz w:val="40"/>
          <w:lang w:val="de-DE"/>
        </w:rPr>
      </w:pPr>
    </w:p>
    <w:p w:rsidR="00E95128" w:rsidRPr="00D97BB9" w:rsidRDefault="00687C63" w:rsidP="00E95128">
      <w:pPr>
        <w:jc w:val="center"/>
        <w:rPr>
          <w:sz w:val="32"/>
          <w:lang w:val="de-DE"/>
        </w:rPr>
      </w:pPr>
      <w:r w:rsidRPr="00687C63">
        <w:rPr>
          <w:sz w:val="36"/>
          <w:szCs w:val="36"/>
          <w:lang w:val="de-DE"/>
        </w:rPr>
        <w:t>(in slowakischer, englischer und deutscher Sprache)</w:t>
      </w:r>
      <w:r w:rsidR="00817E20">
        <w:rPr>
          <w:sz w:val="32"/>
          <w:lang w:val="de-DE"/>
        </w:rPr>
        <w:t xml:space="preserve"> </w:t>
      </w:r>
    </w:p>
    <w:p w:rsidR="00E95128" w:rsidRDefault="00E95128" w:rsidP="00E95128">
      <w:pPr>
        <w:jc w:val="center"/>
        <w:rPr>
          <w:b/>
          <w:sz w:val="40"/>
          <w:lang w:val="de-DE"/>
        </w:rPr>
      </w:pPr>
    </w:p>
    <w:p w:rsidR="00E95128" w:rsidRDefault="00704997" w:rsidP="00E95128">
      <w:pPr>
        <w:jc w:val="center"/>
        <w:rPr>
          <w:sz w:val="32"/>
          <w:lang w:val="de-DE"/>
        </w:rPr>
      </w:pPr>
      <w:r>
        <w:rPr>
          <w:sz w:val="32"/>
          <w:lang w:val="de-DE"/>
        </w:rPr>
        <w:t>Dez</w:t>
      </w:r>
      <w:r w:rsidR="00F80859">
        <w:rPr>
          <w:sz w:val="32"/>
          <w:lang w:val="de-DE"/>
        </w:rPr>
        <w:t xml:space="preserve">ember </w:t>
      </w:r>
      <w:r w:rsidR="00AC507A">
        <w:rPr>
          <w:sz w:val="32"/>
          <w:lang w:val="de-DE"/>
        </w:rPr>
        <w:t>201</w:t>
      </w:r>
      <w:r w:rsidR="009078CD">
        <w:rPr>
          <w:sz w:val="32"/>
          <w:lang w:val="de-DE"/>
        </w:rPr>
        <w:t>3</w:t>
      </w:r>
    </w:p>
    <w:p w:rsidR="00E95128" w:rsidRDefault="00E95128" w:rsidP="00E95128">
      <w:pPr>
        <w:jc w:val="center"/>
        <w:rPr>
          <w:sz w:val="32"/>
          <w:lang w:val="de-DE"/>
        </w:rPr>
      </w:pPr>
    </w:p>
    <w:p w:rsidR="00E95128" w:rsidRDefault="00E95128" w:rsidP="00E95128">
      <w:pPr>
        <w:pStyle w:val="Header"/>
        <w:rPr>
          <w:lang w:val="de-DE"/>
        </w:rPr>
      </w:pPr>
    </w:p>
    <w:p w:rsidR="00E95128" w:rsidRDefault="00E95128" w:rsidP="00E95128">
      <w:pPr>
        <w:pStyle w:val="Header"/>
        <w:rPr>
          <w:lang w:val="de-DE"/>
        </w:rPr>
        <w:sectPr w:rsidR="00E95128" w:rsidSect="000658BA">
          <w:headerReference w:type="even" r:id="rId12"/>
          <w:headerReference w:type="default" r:id="rId13"/>
          <w:footerReference w:type="even" r:id="rId14"/>
          <w:footerReference w:type="default" r:id="rId15"/>
          <w:headerReference w:type="first" r:id="rId16"/>
          <w:footerReference w:type="first" r:id="rId17"/>
          <w:pgSz w:w="11907" w:h="16840" w:code="9"/>
          <w:pgMar w:top="1979" w:right="1021" w:bottom="357" w:left="1673" w:header="675" w:footer="408" w:gutter="0"/>
          <w:cols w:space="708"/>
          <w:titlePg/>
        </w:sectPr>
      </w:pPr>
    </w:p>
    <w:p w:rsidR="0025303E" w:rsidRDefault="0025303E" w:rsidP="0025303E">
      <w:pPr>
        <w:pStyle w:val="Heading6"/>
        <w:tabs>
          <w:tab w:val="left" w:pos="993"/>
          <w:tab w:val="right" w:pos="9214"/>
        </w:tabs>
        <w:rPr>
          <w:sz w:val="30"/>
          <w:lang w:val="de-DE"/>
        </w:rPr>
      </w:pPr>
      <w:r>
        <w:rPr>
          <w:sz w:val="30"/>
          <w:lang w:val="de-DE"/>
        </w:rPr>
        <w:lastRenderedPageBreak/>
        <w:t>EINLEITENDE BEMERKUNGEN</w:t>
      </w:r>
    </w:p>
    <w:p w:rsidR="0025303E" w:rsidRPr="00CD0730" w:rsidRDefault="0025303E" w:rsidP="0025303E">
      <w:pPr>
        <w:rPr>
          <w:sz w:val="16"/>
          <w:szCs w:val="16"/>
          <w:lang w:val="de-DE"/>
        </w:rPr>
      </w:pPr>
    </w:p>
    <w:p w:rsidR="0025303E" w:rsidRPr="00DD52A0" w:rsidRDefault="0025303E" w:rsidP="0025303E">
      <w:pPr>
        <w:rPr>
          <w:b/>
          <w:sz w:val="26"/>
          <w:lang w:val="de-DE"/>
        </w:rPr>
      </w:pPr>
      <w:r w:rsidRPr="00DD52A0">
        <w:rPr>
          <w:b/>
          <w:sz w:val="26"/>
          <w:lang w:val="de-DE"/>
        </w:rPr>
        <w:t>Jahresabschluss</w:t>
      </w:r>
    </w:p>
    <w:p w:rsidR="0025303E" w:rsidRPr="00DD52A0" w:rsidRDefault="0025303E" w:rsidP="0025303E">
      <w:pPr>
        <w:pStyle w:val="Uvod"/>
        <w:rPr>
          <w:sz w:val="16"/>
          <w:szCs w:val="16"/>
          <w:lang w:val="de-DE"/>
        </w:rPr>
      </w:pPr>
    </w:p>
    <w:p w:rsidR="0025303E" w:rsidRDefault="0025303E" w:rsidP="0025303E">
      <w:pPr>
        <w:pStyle w:val="Uvod"/>
        <w:numPr>
          <w:ilvl w:val="0"/>
          <w:numId w:val="3"/>
        </w:numPr>
        <w:spacing w:line="233" w:lineRule="auto"/>
        <w:rPr>
          <w:sz w:val="20"/>
          <w:lang w:val="de-DE"/>
        </w:rPr>
      </w:pPr>
      <w:r w:rsidRPr="00DD52A0">
        <w:rPr>
          <w:sz w:val="20"/>
          <w:lang w:val="de-DE"/>
        </w:rPr>
        <w:t xml:space="preserve">Der illustrative Jahresabschluss wurde von der Gesellschaft KPMG Slovensko erstellt, </w:t>
      </w:r>
      <w:r w:rsidRPr="00811D8D">
        <w:rPr>
          <w:sz w:val="20"/>
          <w:lang w:val="de-DE"/>
        </w:rPr>
        <w:t xml:space="preserve">um die zum 31. Dezember </w:t>
      </w:r>
      <w:r>
        <w:rPr>
          <w:sz w:val="20"/>
          <w:lang w:val="de-DE"/>
        </w:rPr>
        <w:t>2013</w:t>
      </w:r>
      <w:r w:rsidRPr="00811D8D">
        <w:rPr>
          <w:sz w:val="20"/>
          <w:lang w:val="de-DE"/>
        </w:rPr>
        <w:t xml:space="preserve"> </w:t>
      </w:r>
      <w:r>
        <w:rPr>
          <w:sz w:val="20"/>
          <w:lang w:val="de-DE"/>
        </w:rPr>
        <w:t>wirksamen</w:t>
      </w:r>
      <w:r w:rsidRPr="00811D8D">
        <w:rPr>
          <w:sz w:val="20"/>
          <w:lang w:val="de-DE"/>
        </w:rPr>
        <w:t xml:space="preserve"> Rechtsvorschriften für die Erstellung des Jahresabschlusses zum </w:t>
      </w:r>
      <w:r>
        <w:rPr>
          <w:sz w:val="20"/>
          <w:lang w:val="de-DE"/>
        </w:rPr>
        <w:br/>
      </w:r>
      <w:r w:rsidRPr="00811D8D">
        <w:rPr>
          <w:sz w:val="20"/>
          <w:lang w:val="de-DE"/>
        </w:rPr>
        <w:t>31. Dezember</w:t>
      </w:r>
      <w:r w:rsidRPr="00EB704A">
        <w:rPr>
          <w:sz w:val="20"/>
          <w:lang w:val="de-DE"/>
        </w:rPr>
        <w:t xml:space="preserve"> </w:t>
      </w:r>
      <w:r>
        <w:rPr>
          <w:sz w:val="20"/>
          <w:lang w:val="de-DE"/>
        </w:rPr>
        <w:t>2013</w:t>
      </w:r>
      <w:r w:rsidRPr="00DD52A0">
        <w:rPr>
          <w:sz w:val="20"/>
          <w:lang w:val="de-DE"/>
        </w:rPr>
        <w:t xml:space="preserve"> und besonders des Anhangs darzustellen. </w:t>
      </w:r>
      <w:r>
        <w:rPr>
          <w:sz w:val="20"/>
          <w:lang w:val="de-DE"/>
        </w:rPr>
        <w:t>Er wird seit dem Jahr 1999 erstellt und jedes Jahr aktualisiert.</w:t>
      </w:r>
    </w:p>
    <w:p w:rsidR="0025303E" w:rsidRPr="00DD52A0" w:rsidRDefault="0025303E" w:rsidP="0025303E">
      <w:pPr>
        <w:pStyle w:val="Uvod"/>
        <w:spacing w:line="233" w:lineRule="auto"/>
        <w:ind w:left="450" w:firstLine="0"/>
        <w:rPr>
          <w:sz w:val="20"/>
          <w:lang w:val="de-DE"/>
        </w:rPr>
      </w:pPr>
    </w:p>
    <w:p w:rsidR="0025303E" w:rsidRDefault="0025303E" w:rsidP="0025303E">
      <w:pPr>
        <w:pStyle w:val="Uvod"/>
        <w:ind w:left="450" w:firstLine="0"/>
        <w:rPr>
          <w:sz w:val="20"/>
        </w:rPr>
      </w:pPr>
      <w:r w:rsidRPr="003A04C5">
        <w:rPr>
          <w:sz w:val="20"/>
        </w:rPr>
        <w:t xml:space="preserve">Den illustrativen Jahresabschluss zum 31. Dezember 2013 haben wir nach den zum </w:t>
      </w:r>
      <w:r>
        <w:rPr>
          <w:sz w:val="20"/>
        </w:rPr>
        <w:t>31. Dez</w:t>
      </w:r>
      <w:r w:rsidRPr="003A04C5">
        <w:rPr>
          <w:sz w:val="20"/>
        </w:rPr>
        <w:t xml:space="preserve">ember 2013 wirksamen Rechtsvorschriften erstellt. </w:t>
      </w:r>
    </w:p>
    <w:p w:rsidR="0025303E" w:rsidRPr="00D60438" w:rsidRDefault="0025303E" w:rsidP="0025303E">
      <w:pPr>
        <w:pStyle w:val="Uvod"/>
        <w:rPr>
          <w:sz w:val="16"/>
          <w:szCs w:val="16"/>
          <w:highlight w:val="yellow"/>
        </w:rPr>
      </w:pPr>
    </w:p>
    <w:p w:rsidR="0025303E" w:rsidRDefault="0025303E" w:rsidP="0025303E">
      <w:pPr>
        <w:pStyle w:val="Uvod"/>
        <w:numPr>
          <w:ilvl w:val="0"/>
          <w:numId w:val="3"/>
        </w:numPr>
        <w:spacing w:line="233" w:lineRule="auto"/>
        <w:rPr>
          <w:sz w:val="20"/>
          <w:lang w:val="de-DE"/>
        </w:rPr>
      </w:pPr>
      <w:r w:rsidRPr="00BC5F89">
        <w:rPr>
          <w:sz w:val="20"/>
          <w:lang w:val="de-DE"/>
        </w:rPr>
        <w:t xml:space="preserve">Der Jahresabschluss der Unternehmer besteht aus drei Teilen – der Bilanz, der Gewinn- und Verlustrechnung und des Anhangs. </w:t>
      </w:r>
    </w:p>
    <w:p w:rsidR="0025303E" w:rsidRDefault="0025303E" w:rsidP="0025303E">
      <w:pPr>
        <w:pStyle w:val="Uvod"/>
        <w:spacing w:line="233" w:lineRule="auto"/>
        <w:ind w:left="0" w:firstLine="0"/>
        <w:rPr>
          <w:sz w:val="20"/>
          <w:lang w:val="de-DE"/>
        </w:rPr>
      </w:pPr>
    </w:p>
    <w:p w:rsidR="0025303E" w:rsidRPr="00BC5F89" w:rsidRDefault="0025303E" w:rsidP="0025303E">
      <w:pPr>
        <w:pStyle w:val="Uvod"/>
        <w:rPr>
          <w:sz w:val="16"/>
          <w:szCs w:val="16"/>
          <w:lang w:val="de-DE"/>
        </w:rPr>
      </w:pPr>
    </w:p>
    <w:p w:rsidR="0025303E" w:rsidRPr="00BC5F89" w:rsidRDefault="0025303E" w:rsidP="0025303E">
      <w:pPr>
        <w:rPr>
          <w:b/>
          <w:sz w:val="26"/>
          <w:lang w:val="de-DE"/>
        </w:rPr>
      </w:pPr>
      <w:r w:rsidRPr="00BC5F89">
        <w:rPr>
          <w:b/>
          <w:sz w:val="26"/>
          <w:lang w:val="de-DE"/>
        </w:rPr>
        <w:t>Bilanz und Gewinn- und Verlustrechnung</w:t>
      </w:r>
    </w:p>
    <w:p w:rsidR="0025303E" w:rsidRPr="00BC5F89" w:rsidRDefault="0025303E" w:rsidP="0025303E">
      <w:pPr>
        <w:rPr>
          <w:sz w:val="16"/>
          <w:szCs w:val="16"/>
          <w:lang w:val="de-DE"/>
        </w:rPr>
      </w:pPr>
    </w:p>
    <w:p w:rsidR="0025303E" w:rsidRDefault="0025303E" w:rsidP="0025303E">
      <w:pPr>
        <w:pStyle w:val="Uvod"/>
        <w:numPr>
          <w:ilvl w:val="0"/>
          <w:numId w:val="3"/>
        </w:numPr>
        <w:spacing w:line="233" w:lineRule="auto"/>
        <w:rPr>
          <w:sz w:val="20"/>
          <w:lang w:val="de-DE"/>
        </w:rPr>
      </w:pPr>
      <w:r w:rsidRPr="00BC5F89">
        <w:rPr>
          <w:sz w:val="20"/>
          <w:lang w:val="de-DE"/>
        </w:rPr>
        <w:t>Die Struktur und die Bezeichnung einzelner Posten der Bilanz und der Gewinn- u</w:t>
      </w:r>
      <w:r>
        <w:rPr>
          <w:sz w:val="20"/>
          <w:lang w:val="de-DE"/>
        </w:rPr>
        <w:t>nd Verlustrechnung wurden</w:t>
      </w:r>
      <w:r w:rsidRPr="00BC5F89">
        <w:rPr>
          <w:sz w:val="20"/>
          <w:lang w:val="de-DE"/>
        </w:rPr>
        <w:t xml:space="preserve"> vom Finanzministerium der Slowakischen Republik vorgeschrieben und dürfen </w:t>
      </w:r>
      <w:r>
        <w:rPr>
          <w:sz w:val="20"/>
          <w:lang w:val="de-DE"/>
        </w:rPr>
        <w:t>weder</w:t>
      </w:r>
      <w:r w:rsidRPr="00BC5F89">
        <w:rPr>
          <w:sz w:val="20"/>
          <w:lang w:val="de-DE"/>
        </w:rPr>
        <w:t xml:space="preserve"> geändert </w:t>
      </w:r>
      <w:r>
        <w:rPr>
          <w:sz w:val="20"/>
          <w:lang w:val="de-DE"/>
        </w:rPr>
        <w:t>noch</w:t>
      </w:r>
      <w:r w:rsidRPr="00BC5F89">
        <w:rPr>
          <w:sz w:val="20"/>
          <w:lang w:val="de-DE"/>
        </w:rPr>
        <w:t xml:space="preserve"> um weitere Positionen ergänzt werden. Auch dürfen keine Positionen von diesen ausgelassen werden.</w:t>
      </w:r>
    </w:p>
    <w:p w:rsidR="0025303E" w:rsidRDefault="0025303E" w:rsidP="0025303E">
      <w:pPr>
        <w:pStyle w:val="Uvod"/>
        <w:spacing w:line="233" w:lineRule="auto"/>
        <w:ind w:left="90" w:firstLine="0"/>
        <w:rPr>
          <w:sz w:val="20"/>
          <w:lang w:val="de-DE"/>
        </w:rPr>
      </w:pPr>
      <w:r w:rsidRPr="00BC5F89">
        <w:rPr>
          <w:sz w:val="20"/>
          <w:lang w:val="de-DE"/>
        </w:rPr>
        <w:t xml:space="preserve"> </w:t>
      </w:r>
    </w:p>
    <w:p w:rsidR="0025303E" w:rsidRPr="001B4F2D" w:rsidRDefault="0025303E" w:rsidP="0025303E">
      <w:pPr>
        <w:pStyle w:val="Uvod"/>
        <w:numPr>
          <w:ilvl w:val="0"/>
          <w:numId w:val="3"/>
        </w:numPr>
        <w:spacing w:line="233" w:lineRule="auto"/>
        <w:rPr>
          <w:sz w:val="20"/>
          <w:lang w:val="de-DE"/>
        </w:rPr>
      </w:pPr>
      <w:r w:rsidRPr="001B4F2D">
        <w:rPr>
          <w:sz w:val="20"/>
          <w:lang w:val="de-DE"/>
        </w:rPr>
        <w:t>Die Muster der Bilanz und der Gewinn- und Verlustrechnung sind in der Anlage Nr. 1 und Nr. 2 der Maßnahme des Finanzministeriums der Slowakischen Republik Nr. 4455/2003-92 enthalten.</w:t>
      </w:r>
      <w:r w:rsidRPr="001B4F2D">
        <w:rPr>
          <w:lang w:val="de-DE"/>
        </w:rPr>
        <w:t xml:space="preserve"> </w:t>
      </w:r>
    </w:p>
    <w:p w:rsidR="0025303E" w:rsidRDefault="0025303E" w:rsidP="0025303E">
      <w:pPr>
        <w:rPr>
          <w:highlight w:val="yellow"/>
        </w:rPr>
      </w:pPr>
    </w:p>
    <w:p w:rsidR="0025303E" w:rsidRDefault="0025303E" w:rsidP="0025303E">
      <w:pPr>
        <w:pStyle w:val="Uvod"/>
        <w:ind w:left="360" w:firstLine="0"/>
        <w:rPr>
          <w:sz w:val="20"/>
        </w:rPr>
      </w:pPr>
      <w:r w:rsidRPr="003A04C5">
        <w:rPr>
          <w:sz w:val="20"/>
        </w:rPr>
        <w:t xml:space="preserve">Die zum 31. Dezember 2013 und zu einem späteren Datum erstellten Jahresabschlüsse werden in dem Register für Jahresabschlüsse hinterlegt, und zwar innerhalb von 6 Monaten ab dem Bilanzstichtag, sofern durch eine Sondervorschrift nichts anderes festgelegt wird (z.B. durch das Einkommensteuergesetz werden 3 Monate ab dem Ende der Buchungsperiode festgelegt). </w:t>
      </w:r>
    </w:p>
    <w:p w:rsidR="0025303E" w:rsidRDefault="0025303E" w:rsidP="0025303E">
      <w:pPr>
        <w:pStyle w:val="Uvod"/>
        <w:ind w:left="0" w:firstLine="0"/>
        <w:rPr>
          <w:sz w:val="20"/>
        </w:rPr>
      </w:pPr>
    </w:p>
    <w:p w:rsidR="0025303E" w:rsidRPr="001B4F2D" w:rsidRDefault="0025303E" w:rsidP="0025303E">
      <w:pPr>
        <w:pStyle w:val="Uvod"/>
        <w:numPr>
          <w:ilvl w:val="0"/>
          <w:numId w:val="3"/>
        </w:numPr>
        <w:spacing w:line="233" w:lineRule="auto"/>
        <w:rPr>
          <w:sz w:val="20"/>
          <w:lang w:val="de-DE"/>
        </w:rPr>
      </w:pPr>
      <w:r w:rsidRPr="001B4F2D">
        <w:rPr>
          <w:sz w:val="20"/>
          <w:lang w:val="de-DE"/>
        </w:rPr>
        <w:t>Das Finanzministerium der Slowakischen Republik hat in Finančný spravodajca (Finanzberichterstatter)</w:t>
      </w:r>
      <w:r>
        <w:rPr>
          <w:sz w:val="20"/>
          <w:lang w:val="de-DE"/>
        </w:rPr>
        <w:t xml:space="preserve"> Nr. </w:t>
      </w:r>
      <w:r w:rsidRPr="001B4F2D">
        <w:rPr>
          <w:sz w:val="20"/>
          <w:lang w:val="de-DE"/>
        </w:rPr>
        <w:t xml:space="preserve">2/2004 die Bekanntgabe über die Verwendung der Muster der Bilanz und der Gewinn- und Verlustrechnung für Unternehmer veröffentlicht. Nach dieser Bekanntgabe kann eine Buchführungseinheit, die die Bilanz und die Gewinn- und Verlustrechnung zu anderen Zwecken als die Anlage der Steuererklärung der Einkommensteuer verwendet, die Formulare auch in einer anderen Form, als das Muster, das die Anlage </w:t>
      </w:r>
      <w:r>
        <w:rPr>
          <w:sz w:val="20"/>
          <w:lang w:val="de-DE"/>
        </w:rPr>
        <w:t xml:space="preserve">Nr. </w:t>
      </w:r>
      <w:r w:rsidRPr="001B4F2D">
        <w:rPr>
          <w:sz w:val="20"/>
          <w:lang w:val="de-DE"/>
        </w:rPr>
        <w:t xml:space="preserve">1 und </w:t>
      </w:r>
      <w:r>
        <w:rPr>
          <w:sz w:val="20"/>
          <w:lang w:val="de-DE"/>
        </w:rPr>
        <w:t xml:space="preserve">Nr. </w:t>
      </w:r>
      <w:r w:rsidRPr="001B4F2D">
        <w:rPr>
          <w:sz w:val="20"/>
          <w:lang w:val="de-DE"/>
        </w:rPr>
        <w:t xml:space="preserve">2 der Maßnahme des Finanzministeriums der Slowakischen Republik vom </w:t>
      </w:r>
      <w:r>
        <w:rPr>
          <w:sz w:val="20"/>
          <w:lang w:val="de-DE"/>
        </w:rPr>
        <w:br/>
      </w:r>
      <w:r w:rsidRPr="001B4F2D">
        <w:rPr>
          <w:sz w:val="20"/>
          <w:lang w:val="de-DE"/>
        </w:rPr>
        <w:t>11. Dezember 2003 Nr. 25167/2003-92 bildet, verwenden, sofern sie eine inhaltliche Übereinstimmung mit diesem Muster sichert.</w:t>
      </w:r>
    </w:p>
    <w:p w:rsidR="0025303E" w:rsidRPr="00BC5F89" w:rsidRDefault="0025303E" w:rsidP="0025303E">
      <w:pPr>
        <w:rPr>
          <w:sz w:val="16"/>
          <w:szCs w:val="16"/>
          <w:lang w:val="de-DE"/>
        </w:rPr>
      </w:pPr>
    </w:p>
    <w:p w:rsidR="0025303E" w:rsidRPr="00BC5F89" w:rsidRDefault="0025303E" w:rsidP="0025303E">
      <w:pPr>
        <w:rPr>
          <w:b/>
          <w:sz w:val="26"/>
          <w:lang w:val="de-DE"/>
        </w:rPr>
      </w:pPr>
      <w:r w:rsidRPr="00BC5F89">
        <w:rPr>
          <w:b/>
          <w:sz w:val="26"/>
          <w:lang w:val="de-DE"/>
        </w:rPr>
        <w:t>Anhang</w:t>
      </w:r>
    </w:p>
    <w:p w:rsidR="0025303E" w:rsidRPr="00BC5F89" w:rsidRDefault="0025303E" w:rsidP="0025303E">
      <w:pPr>
        <w:rPr>
          <w:sz w:val="16"/>
          <w:szCs w:val="16"/>
          <w:lang w:val="de-DE"/>
        </w:rPr>
      </w:pPr>
    </w:p>
    <w:p w:rsidR="0025303E" w:rsidRPr="00BC5F89" w:rsidRDefault="0025303E" w:rsidP="0025303E">
      <w:pPr>
        <w:pStyle w:val="Uvod"/>
        <w:numPr>
          <w:ilvl w:val="0"/>
          <w:numId w:val="3"/>
        </w:numPr>
        <w:tabs>
          <w:tab w:val="clear" w:pos="450"/>
        </w:tabs>
        <w:spacing w:line="233" w:lineRule="auto"/>
        <w:ind w:left="426" w:hanging="426"/>
        <w:rPr>
          <w:spacing w:val="-2"/>
          <w:sz w:val="20"/>
          <w:lang w:val="de-DE"/>
        </w:rPr>
      </w:pPr>
      <w:r w:rsidRPr="00BC5F89">
        <w:rPr>
          <w:spacing w:val="-2"/>
          <w:sz w:val="20"/>
          <w:lang w:val="de-DE"/>
        </w:rPr>
        <w:t xml:space="preserve">Der Inhalt des Anhangs wird durch das Rechnungslegungsgesetz und die vom Finanzministerium der Slowakischen Republik erlassenen Rechtsvorschriften geregelt (Maßnahme des MF SR Nr. 4455/2003-92 vom 31. März 2003, </w:t>
      </w:r>
      <w:r w:rsidRPr="00BC5F89">
        <w:rPr>
          <w:bCs/>
          <w:spacing w:val="-2"/>
          <w:sz w:val="20"/>
          <w:lang w:val="de-DE"/>
        </w:rPr>
        <w:t>in der die Einzelheiten über die Ordnung, Kennzeichnung und inhaltliche Abgrenzung der Posten des Einzelabschlusses und über den Umfang der zur Offenlegung bestimmten Angaben aus dem Einzelabschluss für Unternehmer, die im System der doppelten Buchführung ihre Bücher führen, festgelegt werden</w:t>
      </w:r>
      <w:r w:rsidRPr="00BC5F89">
        <w:rPr>
          <w:spacing w:val="-2"/>
          <w:sz w:val="20"/>
          <w:lang w:val="de-DE"/>
        </w:rPr>
        <w:t>).</w:t>
      </w:r>
    </w:p>
    <w:p w:rsidR="0025303E" w:rsidRPr="00BC5F89" w:rsidRDefault="0025303E" w:rsidP="0025303E">
      <w:pPr>
        <w:pStyle w:val="Header"/>
        <w:rPr>
          <w:sz w:val="16"/>
          <w:szCs w:val="16"/>
          <w:lang w:val="de-DE"/>
        </w:rPr>
      </w:pPr>
    </w:p>
    <w:p w:rsidR="0025303E" w:rsidRPr="00BC5F89" w:rsidRDefault="0025303E" w:rsidP="0025303E">
      <w:pPr>
        <w:pStyle w:val="Uvod"/>
        <w:numPr>
          <w:ilvl w:val="0"/>
          <w:numId w:val="3"/>
        </w:numPr>
        <w:tabs>
          <w:tab w:val="clear" w:pos="450"/>
        </w:tabs>
        <w:spacing w:line="233" w:lineRule="auto"/>
        <w:ind w:left="426" w:hanging="426"/>
        <w:rPr>
          <w:sz w:val="20"/>
          <w:lang w:val="de-DE"/>
        </w:rPr>
      </w:pPr>
      <w:r w:rsidRPr="00BC5F89">
        <w:rPr>
          <w:sz w:val="20"/>
          <w:lang w:val="de-DE"/>
        </w:rPr>
        <w:t xml:space="preserve">Bestandteile des Anhangs sind die Kapitalflussrechnung (oder Cash-Flow-Rechnung) und der Eigenkapitalspiegel (oder Eigenkapitalentwicklung); </w:t>
      </w:r>
      <w:r>
        <w:rPr>
          <w:sz w:val="20"/>
          <w:lang w:val="de-DE"/>
        </w:rPr>
        <w:t>sie sind somit</w:t>
      </w:r>
      <w:r w:rsidRPr="00E96A24">
        <w:rPr>
          <w:sz w:val="20"/>
          <w:lang w:val="de-DE"/>
        </w:rPr>
        <w:t xml:space="preserve"> –</w:t>
      </w:r>
      <w:r w:rsidRPr="00BC5F89">
        <w:rPr>
          <w:sz w:val="20"/>
          <w:lang w:val="de-DE"/>
        </w:rPr>
        <w:t xml:space="preserve"> im Unterschied zu eini</w:t>
      </w:r>
      <w:r>
        <w:rPr>
          <w:sz w:val="20"/>
          <w:lang w:val="de-DE"/>
        </w:rPr>
        <w:t xml:space="preserve">gen anderen Ländern und den </w:t>
      </w:r>
      <w:r w:rsidRPr="00BC5F89">
        <w:rPr>
          <w:sz w:val="20"/>
          <w:lang w:val="de-DE"/>
        </w:rPr>
        <w:t>IFRS – kein</w:t>
      </w:r>
      <w:r>
        <w:rPr>
          <w:sz w:val="20"/>
          <w:lang w:val="de-DE"/>
        </w:rPr>
        <w:t xml:space="preserve"> eigenst</w:t>
      </w:r>
      <w:r>
        <w:rPr>
          <w:sz w:val="20"/>
        </w:rPr>
        <w:t>ä</w:t>
      </w:r>
      <w:r w:rsidRPr="00A42214">
        <w:rPr>
          <w:sz w:val="20"/>
          <w:lang w:val="de-DE"/>
        </w:rPr>
        <w:t>ndiger Jahresabschluss</w:t>
      </w:r>
      <w:r w:rsidRPr="00BC5F89">
        <w:rPr>
          <w:sz w:val="20"/>
          <w:lang w:val="de-DE"/>
        </w:rPr>
        <w:t xml:space="preserve">, die auf eine hierarchische Ebene mit der Bilanz und der Gewinn- und Verlustrechnung gestellt werden. </w:t>
      </w:r>
    </w:p>
    <w:p w:rsidR="0025303E" w:rsidRPr="00BC5F89" w:rsidRDefault="0025303E" w:rsidP="0025303E">
      <w:pPr>
        <w:rPr>
          <w:sz w:val="16"/>
          <w:szCs w:val="16"/>
          <w:lang w:val="de-DE"/>
        </w:rPr>
      </w:pPr>
    </w:p>
    <w:p w:rsidR="0025303E" w:rsidRPr="00BC5F89" w:rsidRDefault="0025303E" w:rsidP="0025303E">
      <w:pPr>
        <w:pStyle w:val="Uvod"/>
        <w:numPr>
          <w:ilvl w:val="0"/>
          <w:numId w:val="3"/>
        </w:numPr>
        <w:spacing w:line="233" w:lineRule="auto"/>
        <w:ind w:hanging="450"/>
        <w:rPr>
          <w:sz w:val="20"/>
          <w:lang w:val="de-DE"/>
        </w:rPr>
      </w:pPr>
      <w:r w:rsidRPr="00BC5F89">
        <w:rPr>
          <w:sz w:val="20"/>
          <w:lang w:val="de-DE"/>
        </w:rPr>
        <w:t>Der Anhang enthält auch folgende Informationen:</w:t>
      </w:r>
    </w:p>
    <w:p w:rsidR="0025303E" w:rsidRPr="00FD3FBF" w:rsidRDefault="0025303E" w:rsidP="0025303E">
      <w:pPr>
        <w:pStyle w:val="Uvod"/>
        <w:numPr>
          <w:ilvl w:val="0"/>
          <w:numId w:val="4"/>
        </w:numPr>
        <w:tabs>
          <w:tab w:val="num" w:pos="450"/>
        </w:tabs>
        <w:spacing w:line="233" w:lineRule="auto"/>
        <w:ind w:hanging="294"/>
        <w:rPr>
          <w:sz w:val="20"/>
          <w:lang w:val="de-DE"/>
        </w:rPr>
      </w:pPr>
      <w:r w:rsidRPr="004708FE">
        <w:rPr>
          <w:sz w:val="20"/>
          <w:lang w:val="de-DE"/>
        </w:rPr>
        <w:t>Anlagespiegel</w:t>
      </w:r>
      <w:r w:rsidRPr="00FD3FBF">
        <w:rPr>
          <w:sz w:val="20"/>
          <w:lang w:val="de-DE"/>
        </w:rPr>
        <w:t>,</w:t>
      </w:r>
    </w:p>
    <w:p w:rsidR="0025303E" w:rsidRPr="001B4F2D" w:rsidRDefault="0025303E" w:rsidP="0025303E">
      <w:pPr>
        <w:pStyle w:val="Uvod"/>
        <w:numPr>
          <w:ilvl w:val="0"/>
          <w:numId w:val="4"/>
        </w:numPr>
        <w:tabs>
          <w:tab w:val="num" w:pos="450"/>
        </w:tabs>
        <w:spacing w:line="233" w:lineRule="auto"/>
        <w:ind w:hanging="294"/>
        <w:rPr>
          <w:sz w:val="20"/>
          <w:lang w:val="de-DE"/>
        </w:rPr>
      </w:pPr>
      <w:r w:rsidRPr="001B4F2D">
        <w:rPr>
          <w:sz w:val="20"/>
          <w:lang w:val="de-DE"/>
        </w:rPr>
        <w:t>Eventualverbindlichkeiten,</w:t>
      </w:r>
    </w:p>
    <w:p w:rsidR="0025303E" w:rsidRPr="00BC5F89" w:rsidRDefault="0025303E" w:rsidP="0025303E">
      <w:pPr>
        <w:pStyle w:val="Uvod"/>
        <w:numPr>
          <w:ilvl w:val="0"/>
          <w:numId w:val="4"/>
        </w:numPr>
        <w:tabs>
          <w:tab w:val="num" w:pos="450"/>
        </w:tabs>
        <w:spacing w:line="233" w:lineRule="auto"/>
        <w:ind w:hanging="294"/>
        <w:rPr>
          <w:sz w:val="20"/>
          <w:lang w:val="de-DE"/>
        </w:rPr>
      </w:pPr>
      <w:r w:rsidRPr="00BC5F89">
        <w:rPr>
          <w:sz w:val="20"/>
          <w:lang w:val="de-DE"/>
        </w:rPr>
        <w:t>sonstige finanzielle Verpflichtungen,</w:t>
      </w:r>
    </w:p>
    <w:p w:rsidR="0025303E" w:rsidRPr="00BC5F89" w:rsidRDefault="0025303E" w:rsidP="0025303E">
      <w:pPr>
        <w:pStyle w:val="Uvod"/>
        <w:numPr>
          <w:ilvl w:val="0"/>
          <w:numId w:val="4"/>
        </w:numPr>
        <w:tabs>
          <w:tab w:val="num" w:pos="450"/>
        </w:tabs>
        <w:spacing w:line="233" w:lineRule="auto"/>
        <w:ind w:hanging="294"/>
        <w:rPr>
          <w:sz w:val="20"/>
          <w:lang w:val="de-DE"/>
        </w:rPr>
      </w:pPr>
      <w:r w:rsidRPr="00BC5F89">
        <w:rPr>
          <w:sz w:val="20"/>
          <w:lang w:val="de-DE"/>
        </w:rPr>
        <w:t>Angaben über nahestehende Personen,</w:t>
      </w:r>
    </w:p>
    <w:p w:rsidR="0025303E" w:rsidRPr="00BC5F89" w:rsidRDefault="0025303E" w:rsidP="0025303E">
      <w:pPr>
        <w:pStyle w:val="Uvod"/>
        <w:numPr>
          <w:ilvl w:val="0"/>
          <w:numId w:val="4"/>
        </w:numPr>
        <w:tabs>
          <w:tab w:val="num" w:pos="450"/>
        </w:tabs>
        <w:spacing w:line="233" w:lineRule="auto"/>
        <w:ind w:hanging="294"/>
        <w:rPr>
          <w:sz w:val="20"/>
          <w:lang w:val="de-DE"/>
        </w:rPr>
      </w:pPr>
      <w:r w:rsidRPr="00BC5F89">
        <w:rPr>
          <w:sz w:val="20"/>
          <w:lang w:val="de-DE"/>
        </w:rPr>
        <w:t xml:space="preserve">Ereignisse nach dem Bilanzstichtag. </w:t>
      </w:r>
    </w:p>
    <w:p w:rsidR="0025303E" w:rsidRPr="00BC5F89" w:rsidRDefault="0025303E" w:rsidP="0025303E">
      <w:pPr>
        <w:pStyle w:val="Uvod"/>
        <w:rPr>
          <w:sz w:val="16"/>
          <w:szCs w:val="16"/>
          <w:lang w:val="de-DE"/>
        </w:rPr>
      </w:pPr>
    </w:p>
    <w:p w:rsidR="0025303E" w:rsidRDefault="0025303E" w:rsidP="0025303E">
      <w:pPr>
        <w:pStyle w:val="Uvod"/>
        <w:numPr>
          <w:ilvl w:val="0"/>
          <w:numId w:val="3"/>
        </w:numPr>
        <w:spacing w:line="233" w:lineRule="auto"/>
        <w:ind w:hanging="450"/>
        <w:rPr>
          <w:sz w:val="20"/>
          <w:lang w:val="de-DE"/>
        </w:rPr>
      </w:pPr>
      <w:r w:rsidRPr="00BC5F89">
        <w:rPr>
          <w:sz w:val="20"/>
          <w:lang w:val="de-DE"/>
        </w:rPr>
        <w:lastRenderedPageBreak/>
        <w:t xml:space="preserve">Das o.g. Rechnungslegungsgesetz und insbesondere die Maßnahme des Finanzministeriums der Slowakischen Republik enthalten ein relativ langes und ausführliches Verzeichnis von Angaben, die im Anhang aufgeführt werden müssen. Da die wirtschaftliche Realität von Buchführungseinheiten nicht durch irgendein erschöpfendes Verzeichnis der Angaben beschrieben werden kann, muss der Anhang auch weitere Angaben enthalten, falls sie für die Vermittlung eines getreuen und wahrhaftigen Bildes [den tatsächlichen Verhältnissen entsprechenden Bildes] über die Tatsachen, die Gegenstand der Buchführung </w:t>
      </w:r>
      <w:r>
        <w:rPr>
          <w:sz w:val="20"/>
          <w:lang w:val="de-DE"/>
        </w:rPr>
        <w:t>bilden</w:t>
      </w:r>
      <w:r w:rsidRPr="00BC5F89">
        <w:rPr>
          <w:sz w:val="20"/>
          <w:lang w:val="de-DE"/>
        </w:rPr>
        <w:t>, von Bedeutung sind  (§ 7 Abs. 1 des Rechnungslegungsgesetzes).</w:t>
      </w:r>
    </w:p>
    <w:p w:rsidR="0025303E" w:rsidRDefault="0025303E" w:rsidP="0025303E">
      <w:pPr>
        <w:pStyle w:val="Uvod"/>
        <w:spacing w:line="233" w:lineRule="auto"/>
        <w:rPr>
          <w:sz w:val="20"/>
          <w:lang w:val="de-DE"/>
        </w:rPr>
      </w:pPr>
    </w:p>
    <w:p w:rsidR="0025303E" w:rsidRPr="001B4F2D" w:rsidRDefault="0025303E" w:rsidP="0025303E">
      <w:pPr>
        <w:pStyle w:val="Uvod"/>
        <w:numPr>
          <w:ilvl w:val="0"/>
          <w:numId w:val="3"/>
        </w:numPr>
        <w:spacing w:line="233" w:lineRule="auto"/>
        <w:ind w:hanging="450"/>
        <w:rPr>
          <w:sz w:val="20"/>
          <w:lang w:val="de-DE"/>
        </w:rPr>
      </w:pPr>
      <w:r>
        <w:rPr>
          <w:sz w:val="20"/>
          <w:lang w:val="de-DE"/>
        </w:rPr>
        <w:t xml:space="preserve">Wir </w:t>
      </w:r>
      <w:r w:rsidRPr="001B4F2D">
        <w:rPr>
          <w:sz w:val="20"/>
          <w:lang w:val="de-DE"/>
        </w:rPr>
        <w:t xml:space="preserve">führen im Anhang als nicht verpflichtende Angaben auch die Informationen über die Offenlegung des Jahresabschlusses für die Vorperiode </w:t>
      </w:r>
      <w:r>
        <w:rPr>
          <w:sz w:val="20"/>
          <w:lang w:val="de-DE"/>
        </w:rPr>
        <w:t>(siehe Punkt A.7; z.B. gemäß dem § 68 Abs. 6 des Handelsgesetzbuches kann die Nichterfüllung dieser Pflicht bis zur Auflösung der Gesellschaft auf gerichtlicher Anordnung führen),</w:t>
      </w:r>
      <w:r w:rsidRPr="001B4F2D">
        <w:rPr>
          <w:sz w:val="20"/>
          <w:lang w:val="de-DE"/>
        </w:rPr>
        <w:t xml:space="preserve"> die Informationen über die Bestellung eines Wirtschaftsprüfers zur Prüfung des zum 31. Dezember </w:t>
      </w:r>
      <w:r>
        <w:rPr>
          <w:sz w:val="20"/>
          <w:lang w:val="de-DE"/>
        </w:rPr>
        <w:t>2013</w:t>
      </w:r>
      <w:r w:rsidRPr="001B4F2D">
        <w:rPr>
          <w:sz w:val="20"/>
          <w:lang w:val="de-DE"/>
        </w:rPr>
        <w:t xml:space="preserve"> erstellten Jahresabschlusses durch die Gesellschafterversammlung der Gesellschaft  an (siehe Punkt A.</w:t>
      </w:r>
      <w:r>
        <w:rPr>
          <w:sz w:val="20"/>
          <w:lang w:val="de-DE"/>
        </w:rPr>
        <w:t>8</w:t>
      </w:r>
      <w:r w:rsidRPr="001B4F2D">
        <w:rPr>
          <w:sz w:val="20"/>
          <w:lang w:val="de-DE"/>
        </w:rPr>
        <w:t>)</w:t>
      </w:r>
      <w:r>
        <w:rPr>
          <w:sz w:val="20"/>
          <w:lang w:val="de-DE"/>
        </w:rPr>
        <w:t xml:space="preserve">, die Informationen über Geschäfte, die zwischen nahestehenden Unternehmen und Personen unter marktüblichen Geschäftsbedingungen zustande gekommen sind und über ausgewählte Aktiva und Passiva, die sich aus den Transaktionen mit nahestehenden Unternehmen und Personen ergeben (siehe Punkt N), die Informationen über den </w:t>
      </w:r>
      <w:r w:rsidRPr="008C782B">
        <w:rPr>
          <w:sz w:val="20"/>
          <w:lang w:val="de-AT"/>
        </w:rPr>
        <w:t>Vorschlag des statutarischen Organs</w:t>
      </w:r>
      <w:r>
        <w:rPr>
          <w:sz w:val="20"/>
          <w:lang w:val="de-AT"/>
        </w:rPr>
        <w:t xml:space="preserve"> auf Gewinnverteilung oder Verlustausgleich (siehe Punkt P), die Informationen über die Organe der Buchführungseinheit (siehe Punkt B) und die Informationen über die Gesellschafter der Buchführungseinheit (siehe Punkt C)</w:t>
      </w:r>
      <w:r w:rsidRPr="001B4F2D">
        <w:rPr>
          <w:sz w:val="20"/>
          <w:lang w:val="de-DE"/>
        </w:rPr>
        <w:t>.</w:t>
      </w:r>
    </w:p>
    <w:p w:rsidR="0025303E" w:rsidRPr="001B4F2D" w:rsidRDefault="0025303E" w:rsidP="0025303E">
      <w:pPr>
        <w:pStyle w:val="Uvod"/>
        <w:spacing w:line="233" w:lineRule="auto"/>
        <w:ind w:left="0" w:firstLine="0"/>
        <w:rPr>
          <w:sz w:val="20"/>
          <w:lang w:val="de-DE"/>
        </w:rPr>
      </w:pPr>
    </w:p>
    <w:p w:rsidR="0025303E" w:rsidRDefault="0025303E" w:rsidP="0025303E">
      <w:pPr>
        <w:pStyle w:val="Uvod"/>
        <w:numPr>
          <w:ilvl w:val="0"/>
          <w:numId w:val="3"/>
        </w:numPr>
        <w:ind w:hanging="450"/>
        <w:rPr>
          <w:sz w:val="20"/>
          <w:lang w:val="de-DE"/>
        </w:rPr>
      </w:pPr>
      <w:r w:rsidRPr="009D33FD">
        <w:rPr>
          <w:sz w:val="20"/>
          <w:lang w:val="de-DE"/>
        </w:rPr>
        <w:t xml:space="preserve">Die Informationen im Anhang des illustrativen Jahresabschlusses sind nicht erschöpfend. Die Maßnahme des Finanzministeriums Nr. 4455/2003-92 verlangt auch eine Offenlegung von weiteren Informationen, z.B. Informationen über Schuldscheine, Wechsel u.ä. </w:t>
      </w:r>
    </w:p>
    <w:p w:rsidR="0025303E" w:rsidRDefault="0025303E" w:rsidP="0025303E">
      <w:pPr>
        <w:pStyle w:val="ListParagraph"/>
        <w:rPr>
          <w:lang w:val="de-DE"/>
        </w:rPr>
      </w:pPr>
    </w:p>
    <w:p w:rsidR="0025303E" w:rsidRDefault="0025303E" w:rsidP="0025303E">
      <w:pPr>
        <w:pStyle w:val="Uvod"/>
        <w:ind w:left="450" w:firstLine="0"/>
        <w:rPr>
          <w:sz w:val="20"/>
          <w:lang w:val="de-DE"/>
        </w:rPr>
      </w:pPr>
      <w:r w:rsidRPr="009D33FD">
        <w:rPr>
          <w:sz w:val="20"/>
          <w:lang w:val="de-DE"/>
        </w:rPr>
        <w:t xml:space="preserve">Bei Aktiengesellschaften sind mehrere Informationen bezüglich des Eigenkapitals der Gesellschaft anzugeben. </w:t>
      </w:r>
    </w:p>
    <w:p w:rsidR="0025303E" w:rsidRDefault="0025303E" w:rsidP="0025303E">
      <w:pPr>
        <w:pStyle w:val="Uvod"/>
        <w:ind w:left="450" w:firstLine="0"/>
        <w:rPr>
          <w:sz w:val="20"/>
          <w:lang w:val="de-DE"/>
        </w:rPr>
      </w:pPr>
    </w:p>
    <w:p w:rsidR="0025303E" w:rsidRPr="00596866" w:rsidRDefault="0025303E" w:rsidP="0025303E">
      <w:pPr>
        <w:pStyle w:val="Uvod"/>
        <w:ind w:left="448" w:firstLine="0"/>
        <w:rPr>
          <w:sz w:val="20"/>
          <w:lang w:val="de-DE"/>
        </w:rPr>
      </w:pPr>
      <w:r w:rsidRPr="00596866">
        <w:rPr>
          <w:sz w:val="20"/>
          <w:lang w:val="de-DE"/>
        </w:rPr>
        <w:t>Im Anhang der Buchführungseinheiten i.S.d. § 21 Abs. 9 des Rechnungslegungsgesetzes, deren Tätigkeiten der  Kategorie der Industrieproduktion angehören und deren Netto-Umsatzerlöse für die unmittelbar vorangegangene Buchungsperiode höher als EUR 250.000.000 waren, werden auch die Angaben zur Zusammensetzung und der Höhe des gezeichneten Kapitals, das auf die Organe der öffentlichen Gewalt entfällt, zu Wertpapieren im Eigentum der Organe der öffentlichen Gewalt, zur Höhe der Zuschüsse und der rückzahlbaren Finanzierungshilfen, zur  Finanzbeziehung zwischen dem Organ der öffentlichen Gewalt und der Buchführungseinheit und andere Angaben offengelegt. Eine detaillierte Liste der für den Anhang vorgeschriebenen Informationen findet sich in den Teilen U und V des Anhangs 3 der Maßnahme  des Finanzministeriums Nr. 4455/2003-92.</w:t>
      </w:r>
    </w:p>
    <w:p w:rsidR="0025303E" w:rsidRPr="00596866" w:rsidRDefault="0025303E" w:rsidP="0025303E">
      <w:pPr>
        <w:pStyle w:val="Uvod"/>
        <w:ind w:left="448" w:firstLine="0"/>
        <w:rPr>
          <w:sz w:val="20"/>
          <w:lang w:val="de-DE"/>
        </w:rPr>
      </w:pPr>
    </w:p>
    <w:p w:rsidR="0025303E" w:rsidRPr="00596866" w:rsidRDefault="0025303E" w:rsidP="0025303E">
      <w:pPr>
        <w:pStyle w:val="Uvod"/>
        <w:ind w:left="448" w:firstLine="0"/>
        <w:rPr>
          <w:sz w:val="20"/>
          <w:lang w:val="de-DE"/>
        </w:rPr>
      </w:pPr>
      <w:r w:rsidRPr="00596866">
        <w:rPr>
          <w:sz w:val="20"/>
          <w:lang w:val="de-DE"/>
        </w:rPr>
        <w:t xml:space="preserve">Im Anhang der Buchführungseinheiten, denen ein alleiniges Recht oder Sonderrecht erteilt wurde sowie der Buchführungseinheiten, denen ein Recht auf Erbringung von Dienstleistungen im öffentlichen Interesse erteilt wurde, wobei sie gleichzeitig eine Erstattung für diese Tätigkeit in jeglicher Form erhalten und die gleichzeitig auch andere Tätigkeiten ausüben, werden die Angaben aller Formen erhaltener Erstattung, die bei der Zuordnung von Aufwendungen und Erträgen verwendeten </w:t>
      </w:r>
      <w:r>
        <w:rPr>
          <w:sz w:val="20"/>
          <w:lang w:val="de-DE"/>
        </w:rPr>
        <w:t>Rechnungsleg</w:t>
      </w:r>
      <w:r w:rsidRPr="00085B51">
        <w:rPr>
          <w:sz w:val="20"/>
          <w:lang w:val="de-DE"/>
        </w:rPr>
        <w:t>ungsgrundsätze</w:t>
      </w:r>
      <w:r w:rsidRPr="00596866">
        <w:rPr>
          <w:sz w:val="20"/>
          <w:lang w:val="de-DE"/>
        </w:rPr>
        <w:t xml:space="preserve"> und andere Angaben offengelegt (vgl. Anhang 3 Teil W der Maßnahme</w:t>
      </w:r>
      <w:r w:rsidRPr="00596866" w:rsidDel="00596866">
        <w:rPr>
          <w:sz w:val="20"/>
          <w:lang w:val="de-DE"/>
        </w:rPr>
        <w:t xml:space="preserve"> </w:t>
      </w:r>
      <w:r w:rsidRPr="00596866">
        <w:rPr>
          <w:sz w:val="20"/>
          <w:lang w:val="de-DE"/>
        </w:rPr>
        <w:t xml:space="preserve"> des Finanzministeriums Nr. 4455/2003-92). </w:t>
      </w:r>
    </w:p>
    <w:p w:rsidR="0025303E" w:rsidRPr="00EB704A" w:rsidRDefault="0025303E" w:rsidP="0025303E">
      <w:pPr>
        <w:pStyle w:val="Uvod"/>
        <w:ind w:left="448" w:firstLine="0"/>
        <w:rPr>
          <w:sz w:val="20"/>
          <w:highlight w:val="yellow"/>
          <w:lang w:val="de-DE"/>
        </w:rPr>
      </w:pPr>
    </w:p>
    <w:p w:rsidR="0025303E" w:rsidRPr="009D33FD" w:rsidRDefault="0025303E" w:rsidP="0025303E">
      <w:pPr>
        <w:pStyle w:val="Uvod"/>
        <w:ind w:left="450" w:firstLine="0"/>
        <w:rPr>
          <w:sz w:val="20"/>
          <w:lang w:val="de-DE"/>
        </w:rPr>
      </w:pPr>
      <w:r w:rsidRPr="009D33FD">
        <w:rPr>
          <w:sz w:val="20"/>
          <w:lang w:val="de-DE"/>
        </w:rPr>
        <w:t xml:space="preserve">Daher müssen die Buchführungseinheiten bei der Erstellung ihrer Jahresabschlüsse beurteilen, welche Informationen im Sinne </w:t>
      </w:r>
      <w:r w:rsidRPr="009A1811">
        <w:rPr>
          <w:sz w:val="20"/>
          <w:lang w:val="de-DE"/>
        </w:rPr>
        <w:t>des Rechnungslegungsgesetzes</w:t>
      </w:r>
      <w:r>
        <w:rPr>
          <w:sz w:val="20"/>
          <w:lang w:val="de-DE"/>
        </w:rPr>
        <w:t xml:space="preserve"> und </w:t>
      </w:r>
      <w:r w:rsidRPr="009D33FD">
        <w:rPr>
          <w:sz w:val="20"/>
          <w:lang w:val="de-DE"/>
        </w:rPr>
        <w:t xml:space="preserve">der Maßnahme des Finanzministeriums Nr. 4455/2003-92 noch offenzulegen sind. </w:t>
      </w:r>
    </w:p>
    <w:p w:rsidR="0025303E" w:rsidRDefault="0025303E" w:rsidP="0025303E">
      <w:pPr>
        <w:pStyle w:val="Uvod"/>
        <w:spacing w:line="233" w:lineRule="auto"/>
        <w:ind w:left="0" w:firstLine="0"/>
        <w:rPr>
          <w:sz w:val="20"/>
          <w:lang w:val="de-DE"/>
        </w:rPr>
      </w:pPr>
    </w:p>
    <w:p w:rsidR="0025303E" w:rsidRPr="00312477" w:rsidRDefault="0025303E" w:rsidP="0025303E">
      <w:pPr>
        <w:pStyle w:val="Uvod"/>
        <w:numPr>
          <w:ilvl w:val="0"/>
          <w:numId w:val="3"/>
        </w:numPr>
        <w:ind w:left="426"/>
        <w:rPr>
          <w:sz w:val="20"/>
        </w:rPr>
      </w:pPr>
      <w:r>
        <w:rPr>
          <w:sz w:val="20"/>
          <w:lang w:val="de-DE"/>
        </w:rPr>
        <w:t xml:space="preserve">Zum 31. Dezember 2011 trat die Novelle der Maßnahme des Finanzministeriums der SR Nr. 4455/2003-92 (Maßnahme MF SR Nr. 24013/2011-74) in Kraft. Zum Zwecke der geplanten elektronischen Abgabe des Jahresabschlusses der zum 31, Dezember 2013 und später erstellt wird, wird in der Novelle der Maßnahme die Form der Angabe der numerischen Informationen festgelegt, die Bestandteil des Anhangs zum Jahresabschluss sind, bei der Aufrechterhaltung ihres bisher gültigen Inhalts. Durch die Novelle der Maßnahme wurde daher die Anlage Nr. 3a eingeführt, in der das Muster der Tabellenform zur Angabe der numerischen Daten festgelegt wird. Daher wurden auch in unseren illustrativen Jahresabschluss die Tabellen im Sinne der Anlage Nr. 3a  bereits im vorigen Jahr eingefügt. Nach den Erfahrungen aus dem vorigen Jahr führen wir im diesjährigen illustrativen Jahresabschluss alle von der Anlage Nr. 3a geforderten Tabellen an, nicht nur jene, für die in unserem illustrativen Jahresabschluss ein Inhalt besteht. Dies geschieht aus praktischen Gründen, damit von der Buchführungseinheit nichts unterlassen wird. Es ist einfacher, die </w:t>
      </w:r>
      <w:r>
        <w:rPr>
          <w:sz w:val="20"/>
          <w:lang w:val="de-DE"/>
        </w:rPr>
        <w:lastRenderedPageBreak/>
        <w:t>unnötigen Tabellen zu löschen als weitere einzufügen. Da gemäß der Maßnahme einige Tabellen geändert werden dürfen und einige nicht (Anlage Nr. 3a, Punkt 6 der Erläuterungen), führen wir bei jeder Tabelle auch eine Information an, ob diese geändert werden darf oder nicht (diese Information ist bei jeder Tabelle zu löschen).</w:t>
      </w:r>
    </w:p>
    <w:p w:rsidR="0025303E" w:rsidRDefault="0025303E" w:rsidP="0025303E">
      <w:pPr>
        <w:pStyle w:val="Uvod"/>
        <w:ind w:left="426" w:firstLine="0"/>
        <w:rPr>
          <w:sz w:val="20"/>
          <w:lang w:val="de-DE"/>
        </w:rPr>
      </w:pPr>
    </w:p>
    <w:p w:rsidR="0025303E" w:rsidRDefault="0025303E" w:rsidP="0025303E">
      <w:pPr>
        <w:pStyle w:val="Uvod"/>
        <w:ind w:left="360" w:firstLine="0"/>
        <w:rPr>
          <w:sz w:val="20"/>
        </w:rPr>
      </w:pPr>
      <w:r>
        <w:rPr>
          <w:sz w:val="20"/>
        </w:rPr>
        <w:t xml:space="preserve">Durch die Novelle der Maßnahme des Finanzministeriums der SR Nr. 4455/2003-92 (Maßnahme MF SR Nr. MF/17920/2013-74), die zum 31. Dezember 2013 in Kraft tritt, wurde auch die Anlage Nr. 3a der Maßnahme novelliert. Durch die neue Anlage Nr. 3a wird die ursprüngliche Anlage Nr. 3a ersetzt, wobei:  </w:t>
      </w:r>
    </w:p>
    <w:p w:rsidR="0025303E" w:rsidRDefault="0025303E" w:rsidP="0025303E">
      <w:pPr>
        <w:pStyle w:val="Uvod"/>
        <w:rPr>
          <w:sz w:val="20"/>
        </w:rPr>
      </w:pPr>
    </w:p>
    <w:p w:rsidR="0025303E" w:rsidRDefault="0025303E" w:rsidP="0025303E">
      <w:pPr>
        <w:pStyle w:val="Uvod"/>
        <w:numPr>
          <w:ilvl w:val="0"/>
          <w:numId w:val="43"/>
        </w:numPr>
        <w:tabs>
          <w:tab w:val="clear" w:pos="340"/>
          <w:tab w:val="num" w:pos="700"/>
        </w:tabs>
        <w:ind w:left="700"/>
        <w:rPr>
          <w:sz w:val="20"/>
        </w:rPr>
      </w:pPr>
      <w:r>
        <w:rPr>
          <w:sz w:val="20"/>
        </w:rPr>
        <w:t xml:space="preserve">der Inhalt und die Form von einigen Tabellen geändert werden – es werden neue Zeilen oder Spalten zugefügt (z.B. in den Tabellen über die Übersicht der langfristigen Vermögensgegenstände wird die Zeile „Umbuchungen“ auch in dem Teil Kumulierte Abschreibungen und Wertberichtigungen ergänzt), </w:t>
      </w:r>
    </w:p>
    <w:p w:rsidR="0025303E" w:rsidRDefault="0025303E" w:rsidP="0025303E">
      <w:pPr>
        <w:pStyle w:val="Uvod"/>
        <w:ind w:left="624"/>
        <w:rPr>
          <w:sz w:val="20"/>
        </w:rPr>
      </w:pPr>
    </w:p>
    <w:p w:rsidR="0025303E" w:rsidRDefault="0025303E" w:rsidP="0025303E">
      <w:pPr>
        <w:pStyle w:val="Uvod"/>
        <w:numPr>
          <w:ilvl w:val="0"/>
          <w:numId w:val="43"/>
        </w:numPr>
        <w:tabs>
          <w:tab w:val="clear" w:pos="340"/>
          <w:tab w:val="num" w:pos="700"/>
        </w:tabs>
        <w:ind w:left="700"/>
        <w:rPr>
          <w:sz w:val="20"/>
        </w:rPr>
      </w:pPr>
      <w:r>
        <w:rPr>
          <w:sz w:val="20"/>
        </w:rPr>
        <w:t xml:space="preserve">einige Tabellen wurden ausgelassen, z.B. wesentliche Posten der zeitlichen Abgrenzung auf der Aktivseite und auf der Passivseite, Erlöse in der Gliederung nach Hauptprodukten und  Hauptterritorien, wesentliche Posten der Dienstleistungen und anderer Aufwendungen, Unterbilanzkonten, Eventualvemögensgegenstände und Eventualverbindlichkeiten u.ä. </w:t>
      </w:r>
    </w:p>
    <w:p w:rsidR="0025303E" w:rsidRDefault="0025303E" w:rsidP="0025303E">
      <w:pPr>
        <w:pStyle w:val="ListParagraph"/>
      </w:pPr>
    </w:p>
    <w:p w:rsidR="0025303E" w:rsidRDefault="0025303E" w:rsidP="0025303E">
      <w:pPr>
        <w:pStyle w:val="Uvod"/>
        <w:ind w:firstLine="0"/>
        <w:rPr>
          <w:sz w:val="20"/>
        </w:rPr>
      </w:pPr>
      <w:r>
        <w:rPr>
          <w:sz w:val="20"/>
        </w:rPr>
        <w:t xml:space="preserve">Es gilt jedoch weiterhin die Pflicht, diese Informationen im Anhang anzugeben, sofern die Buchführungseinheit für diese einen Inhalt hat. Die Art und Form deren Angabe sind jedoch nicht mehr strikt vorgeschrieben, die Buchführungseinheitt kann diese in einer Form nach eigenem Ermessen angeben.  In unserem illustrativen Jahresabschluss führen wir diese in der Tabellenform, wobei die Tabelle nach dem Inhalt der betreffenden Buchführungseinheit ausgefüllt wird. Bei jeder solcher Tabelle führen wir auch eine Information darüber, ob ihre Form vorgeschrieben ist oder nicht und ob es sich um eine Pflichtangabe handelt oder nicht (diese Informationen sind bei jeder Tabelle zu löschen). </w:t>
      </w:r>
    </w:p>
    <w:p w:rsidR="0025303E" w:rsidRPr="007F6EE8" w:rsidRDefault="0025303E" w:rsidP="0025303E">
      <w:pPr>
        <w:pStyle w:val="Uvod"/>
        <w:ind w:left="426" w:firstLine="0"/>
        <w:rPr>
          <w:sz w:val="20"/>
        </w:rPr>
      </w:pPr>
    </w:p>
    <w:p w:rsidR="0025303E" w:rsidRDefault="0025303E" w:rsidP="0025303E">
      <w:pPr>
        <w:pStyle w:val="Uvod"/>
        <w:ind w:left="426" w:firstLine="0"/>
        <w:rPr>
          <w:sz w:val="20"/>
        </w:rPr>
      </w:pPr>
      <w:r w:rsidRPr="00312477">
        <w:rPr>
          <w:sz w:val="20"/>
        </w:rPr>
        <w:t xml:space="preserve"> </w:t>
      </w:r>
    </w:p>
    <w:p w:rsidR="0025303E" w:rsidRPr="003A04C5" w:rsidRDefault="0025303E" w:rsidP="0025303E">
      <w:pPr>
        <w:pStyle w:val="Uvod"/>
        <w:numPr>
          <w:ilvl w:val="0"/>
          <w:numId w:val="3"/>
        </w:numPr>
        <w:spacing w:line="233" w:lineRule="auto"/>
        <w:ind w:hanging="450"/>
        <w:rPr>
          <w:sz w:val="20"/>
          <w:lang w:val="de-DE"/>
        </w:rPr>
      </w:pPr>
      <w:r w:rsidRPr="003A04C5">
        <w:rPr>
          <w:sz w:val="20"/>
          <w:lang w:val="de-DE"/>
        </w:rPr>
        <w:t>Der</w:t>
      </w:r>
      <w:r>
        <w:rPr>
          <w:sz w:val="20"/>
          <w:lang w:val="de-DE"/>
        </w:rPr>
        <w:t xml:space="preserve"> Nationalrat der SR hat im Dezember 2013 den</w:t>
      </w:r>
      <w:r w:rsidRPr="003A04C5">
        <w:rPr>
          <w:sz w:val="20"/>
          <w:lang w:val="de-DE"/>
        </w:rPr>
        <w:t xml:space="preserve"> Entwurf der Novelle des Einkommensteuergesetzes </w:t>
      </w:r>
      <w:r>
        <w:rPr>
          <w:sz w:val="20"/>
          <w:lang w:val="de-DE"/>
        </w:rPr>
        <w:t>verabschiedet, in der der Satz</w:t>
      </w:r>
      <w:r w:rsidRPr="003A04C5">
        <w:rPr>
          <w:sz w:val="20"/>
          <w:lang w:val="de-DE"/>
        </w:rPr>
        <w:t xml:space="preserve"> der Einkommensteuer juristischen Per</w:t>
      </w:r>
      <w:r>
        <w:rPr>
          <w:sz w:val="20"/>
          <w:lang w:val="de-DE"/>
        </w:rPr>
        <w:t>sonen (Körperschaftssteuersatz) von 23% auf 22% herabgesetzt wird</w:t>
      </w:r>
      <w:r w:rsidRPr="003A04C5">
        <w:rPr>
          <w:sz w:val="20"/>
          <w:lang w:val="de-DE"/>
        </w:rPr>
        <w:t xml:space="preserve">.  </w:t>
      </w:r>
    </w:p>
    <w:p w:rsidR="0025303E" w:rsidRPr="003A04C5" w:rsidRDefault="0025303E" w:rsidP="0025303E">
      <w:pPr>
        <w:pStyle w:val="Uvod"/>
        <w:spacing w:line="233" w:lineRule="auto"/>
        <w:ind w:left="450" w:firstLine="0"/>
        <w:rPr>
          <w:sz w:val="20"/>
          <w:lang w:val="de-DE"/>
        </w:rPr>
      </w:pPr>
    </w:p>
    <w:p w:rsidR="0025303E" w:rsidRPr="003A04C5" w:rsidRDefault="0025303E" w:rsidP="0025303E">
      <w:pPr>
        <w:pStyle w:val="Uvod"/>
        <w:spacing w:line="233" w:lineRule="auto"/>
        <w:ind w:left="450" w:firstLine="0"/>
        <w:rPr>
          <w:sz w:val="20"/>
          <w:lang w:val="de-DE"/>
        </w:rPr>
      </w:pPr>
      <w:r w:rsidRPr="003A04C5">
        <w:rPr>
          <w:sz w:val="20"/>
          <w:lang w:val="de-DE"/>
        </w:rPr>
        <w:t xml:space="preserve">Daher übernehmen wir in unserem illustrativen Jahresabschluss bei der Ermittlung der latenten Steuer </w:t>
      </w:r>
      <w:r>
        <w:rPr>
          <w:sz w:val="20"/>
          <w:lang w:val="de-DE"/>
        </w:rPr>
        <w:t xml:space="preserve">für das Jahr 2013 </w:t>
      </w:r>
      <w:r w:rsidRPr="003A04C5">
        <w:rPr>
          <w:sz w:val="20"/>
          <w:lang w:val="de-DE"/>
        </w:rPr>
        <w:t>den Satz von 2</w:t>
      </w:r>
      <w:r>
        <w:rPr>
          <w:sz w:val="20"/>
          <w:lang w:val="de-DE"/>
        </w:rPr>
        <w:t>2</w:t>
      </w:r>
      <w:r w:rsidRPr="003A04C5">
        <w:rPr>
          <w:sz w:val="20"/>
          <w:lang w:val="de-DE"/>
        </w:rPr>
        <w:t xml:space="preserve"> %. </w:t>
      </w:r>
    </w:p>
    <w:p w:rsidR="0025303E" w:rsidRPr="003A04C5" w:rsidRDefault="0025303E" w:rsidP="0025303E">
      <w:pPr>
        <w:pStyle w:val="Uvod"/>
        <w:spacing w:line="233" w:lineRule="auto"/>
        <w:ind w:left="450" w:firstLine="0"/>
        <w:rPr>
          <w:sz w:val="20"/>
          <w:lang w:val="de-DE"/>
        </w:rPr>
      </w:pPr>
    </w:p>
    <w:p w:rsidR="0025303E" w:rsidRDefault="0025303E" w:rsidP="0025303E">
      <w:pPr>
        <w:pStyle w:val="Uvod"/>
        <w:numPr>
          <w:ilvl w:val="0"/>
          <w:numId w:val="3"/>
        </w:numPr>
        <w:tabs>
          <w:tab w:val="clear" w:pos="450"/>
          <w:tab w:val="num" w:pos="360"/>
        </w:tabs>
        <w:ind w:left="360"/>
      </w:pPr>
      <w:r>
        <w:rPr>
          <w:sz w:val="20"/>
          <w:lang w:val="de-DE"/>
        </w:rPr>
        <w:t xml:space="preserve">Die </w:t>
      </w:r>
      <w:r>
        <w:rPr>
          <w:sz w:val="20"/>
        </w:rPr>
        <w:t xml:space="preserve">Informationen nach der Anlage Nr. 3 Teil M. Buchst. a) der Maßnahme  (Informationen </w:t>
      </w:r>
      <w:r w:rsidRPr="002A65A1">
        <w:rPr>
          <w:rFonts w:eastAsiaTheme="minorHAnsi"/>
          <w:sz w:val="20"/>
        </w:rPr>
        <w:t>über Einnahmen und Vorteile der Mitglieder der statutarischen Organe, Aufsichtsorgane und anderer Organe der Buchführungseinheit</w:t>
      </w:r>
      <w:r>
        <w:rPr>
          <w:rFonts w:asciiTheme="minorHAnsi" w:eastAsiaTheme="minorHAnsi" w:hAnsiTheme="minorHAnsi" w:cstheme="minorBidi"/>
        </w:rPr>
        <w:t xml:space="preserve"> </w:t>
      </w:r>
      <w:r>
        <w:rPr>
          <w:sz w:val="20"/>
        </w:rPr>
        <w:t xml:space="preserve">und Teil N (Geschäftsbeziehungen mit nahestehenden Unternehmen und Personen) sind Bestandteil des Anhangs der Buchführungseinheiten, die  </w:t>
      </w:r>
    </w:p>
    <w:p w:rsidR="0025303E" w:rsidRDefault="0025303E" w:rsidP="0025303E">
      <w:pPr>
        <w:pStyle w:val="ListParagraph"/>
      </w:pPr>
    </w:p>
    <w:p w:rsidR="0025303E" w:rsidRDefault="0025303E" w:rsidP="0025303E">
      <w:pPr>
        <w:pStyle w:val="ListParagraph"/>
        <w:numPr>
          <w:ilvl w:val="0"/>
          <w:numId w:val="44"/>
        </w:numPr>
        <w:tabs>
          <w:tab w:val="clear" w:pos="340"/>
          <w:tab w:val="num" w:pos="790"/>
        </w:tabs>
        <w:ind w:left="790"/>
        <w:jc w:val="both"/>
      </w:pPr>
      <w:r w:rsidRPr="002A65A1">
        <w:rPr>
          <w:rFonts w:eastAsiaTheme="minorHAnsi"/>
        </w:rPr>
        <w:t>Wertpapiere emittiert haben  und diese</w:t>
      </w:r>
      <w:r>
        <w:rPr>
          <w:rFonts w:asciiTheme="minorHAnsi" w:eastAsiaTheme="minorHAnsi" w:hAnsiTheme="minorHAnsi" w:cstheme="minorBidi"/>
        </w:rPr>
        <w:t xml:space="preserve"> </w:t>
      </w:r>
      <w:r w:rsidRPr="0016242A">
        <w:rPr>
          <w:bCs/>
          <w:lang w:val="de-DE"/>
        </w:rPr>
        <w:t xml:space="preserve">zum Handel auf dem geregelten Markt eines Mitgliedstaates der </w:t>
      </w:r>
      <w:r>
        <w:rPr>
          <w:bCs/>
          <w:lang w:val="de-DE"/>
        </w:rPr>
        <w:t xml:space="preserve"> EU </w:t>
      </w:r>
      <w:r w:rsidRPr="0016242A">
        <w:rPr>
          <w:bCs/>
          <w:lang w:val="de-DE"/>
        </w:rPr>
        <w:t>oder eines Staates, der Vertragspartei des Abkommens über den Europäischen Wirtschaftsraum ist, aufgenommen wurden</w:t>
      </w:r>
      <w:r>
        <w:rPr>
          <w:bCs/>
          <w:lang w:val="de-DE"/>
        </w:rPr>
        <w:t xml:space="preserve"> oder</w:t>
      </w:r>
    </w:p>
    <w:p w:rsidR="0025303E" w:rsidRDefault="0025303E" w:rsidP="0025303E">
      <w:pPr>
        <w:pStyle w:val="ListParagraph"/>
        <w:numPr>
          <w:ilvl w:val="0"/>
          <w:numId w:val="44"/>
        </w:numPr>
        <w:tabs>
          <w:tab w:val="clear" w:pos="340"/>
          <w:tab w:val="num" w:pos="790"/>
        </w:tabs>
        <w:ind w:left="790"/>
        <w:jc w:val="both"/>
      </w:pPr>
      <w:r w:rsidRPr="002A65A1">
        <w:rPr>
          <w:rFonts w:eastAsiaTheme="minorHAnsi"/>
        </w:rPr>
        <w:t>zum Bilanzstichtag und für die unmittelbare Vorperiode mindestens zwei der folgenden Bedingungen erfüllt haben</w:t>
      </w:r>
      <w:r>
        <w:t>:</w:t>
      </w:r>
    </w:p>
    <w:p w:rsidR="0025303E" w:rsidRDefault="0025303E" w:rsidP="0025303E">
      <w:pPr>
        <w:pStyle w:val="ListParagraph"/>
        <w:numPr>
          <w:ilvl w:val="0"/>
          <w:numId w:val="45"/>
        </w:numPr>
        <w:jc w:val="both"/>
      </w:pPr>
      <w:r w:rsidRPr="003000E7">
        <w:rPr>
          <w:bCs/>
        </w:rPr>
        <w:t>die Bilanzsumme (Brutto) hat EUR 4.000.000 überstiegen</w:t>
      </w:r>
      <w:r>
        <w:t xml:space="preserve">, </w:t>
      </w:r>
      <w:r w:rsidRPr="00B23B6F">
        <w:rPr>
          <w:bCs/>
          <w:lang w:val="de-DE"/>
        </w:rPr>
        <w:t xml:space="preserve">wobei als die Bilanzsumme (Brutto) die Summe gilt, die aus der Bilanz in der nicht um die Posten i.S.d. § 26 Abs. 3 </w:t>
      </w:r>
      <w:r>
        <w:rPr>
          <w:bCs/>
          <w:lang w:val="de-DE"/>
        </w:rPr>
        <w:t xml:space="preserve">des Rechnungslegungsgesetzes </w:t>
      </w:r>
      <w:r w:rsidRPr="00B23B6F">
        <w:rPr>
          <w:bCs/>
          <w:lang w:val="de-DE"/>
        </w:rPr>
        <w:t>angepassten Bewertung ermittelt wurde,</w:t>
      </w:r>
    </w:p>
    <w:p w:rsidR="0025303E" w:rsidRDefault="0025303E" w:rsidP="0025303E">
      <w:pPr>
        <w:pStyle w:val="ListParagraph"/>
        <w:numPr>
          <w:ilvl w:val="0"/>
          <w:numId w:val="45"/>
        </w:numPr>
        <w:jc w:val="both"/>
      </w:pPr>
      <w:r w:rsidRPr="003000E7">
        <w:rPr>
          <w:bCs/>
        </w:rPr>
        <w:t>die Nettoumsatzerlöse haben EUR 8.000.000 überstiegen</w:t>
      </w:r>
      <w:r>
        <w:t xml:space="preserve">, </w:t>
      </w:r>
      <w:r w:rsidRPr="00B23B6F">
        <w:rPr>
          <w:bCs/>
          <w:lang w:val="de-DE"/>
        </w:rPr>
        <w:t>wobei</w:t>
      </w:r>
      <w:r w:rsidRPr="00B23B6F">
        <w:t xml:space="preserve"> als</w:t>
      </w:r>
      <w:r w:rsidRPr="00B23B6F">
        <w:rPr>
          <w:bCs/>
          <w:szCs w:val="22"/>
          <w:lang w:val="de-DE"/>
        </w:rPr>
        <w:t xml:space="preserve"> Nettoumsatzerlöse für diese Zwecke die aus dem Verkauf von Erzeugnissen, Waren, von erbrachten Dienstleistungen erzielten Erträge sowie andere Erträge, die mit der laufenden Geschäftstätigkeit der Buchführungseinheit zusammenhängen, nach Abzug der Ermäßigungen,</w:t>
      </w:r>
      <w:r w:rsidRPr="00B23B6F">
        <w:rPr>
          <w:bCs/>
          <w:lang w:val="de-DE"/>
        </w:rPr>
        <w:t xml:space="preserve"> </w:t>
      </w:r>
      <w:r w:rsidRPr="00B23B6F">
        <w:t>gelten</w:t>
      </w:r>
      <w:r w:rsidRPr="00B23B6F">
        <w:rPr>
          <w:bCs/>
          <w:szCs w:val="22"/>
          <w:lang w:val="de-DE"/>
        </w:rPr>
        <w:t>,</w:t>
      </w:r>
    </w:p>
    <w:p w:rsidR="0025303E" w:rsidRDefault="0025303E" w:rsidP="0025303E">
      <w:pPr>
        <w:pStyle w:val="ListParagraph"/>
        <w:numPr>
          <w:ilvl w:val="0"/>
          <w:numId w:val="45"/>
        </w:numPr>
        <w:jc w:val="both"/>
      </w:pPr>
      <w:r w:rsidRPr="00905955">
        <w:rPr>
          <w:bCs/>
          <w:lang w:val="de-DE"/>
        </w:rPr>
        <w:t xml:space="preserve">die umgerechnete durchschnittliche Anzahl der Arbeitnehmer in einer Buchungsperiode betrug mehr als </w:t>
      </w:r>
      <w:r w:rsidRPr="00905955">
        <w:rPr>
          <w:lang w:val="de-DE"/>
        </w:rPr>
        <w:t>50</w:t>
      </w:r>
      <w:r>
        <w:t>.</w:t>
      </w:r>
    </w:p>
    <w:p w:rsidR="0025303E" w:rsidRDefault="0025303E" w:rsidP="0025303E">
      <w:pPr>
        <w:jc w:val="both"/>
      </w:pPr>
    </w:p>
    <w:p w:rsidR="0025303E" w:rsidRDefault="0025303E" w:rsidP="0025303E">
      <w:pPr>
        <w:pStyle w:val="ListParagraph"/>
        <w:ind w:left="426"/>
        <w:jc w:val="both"/>
      </w:pPr>
      <w:r w:rsidRPr="00B23B6F">
        <w:t xml:space="preserve">Die </w:t>
      </w:r>
      <w:r>
        <w:t xml:space="preserve">Informationen nach der Anlage Nr. 3 Teil M. Buchst. a) der Maßnahme müssen bei diesen Buchführungseinheiten nicht angegeben werden, </w:t>
      </w:r>
      <w:r w:rsidRPr="00905955">
        <w:rPr>
          <w:lang w:val="de-DE"/>
        </w:rPr>
        <w:t xml:space="preserve">wenn durch solche Informationen die </w:t>
      </w:r>
      <w:r w:rsidRPr="00B23B6F">
        <w:rPr>
          <w:lang w:val="de-DE"/>
        </w:rPr>
        <w:t>Identifikation der Finanzlage eines konkreten Mitglieds</w:t>
      </w:r>
      <w:r w:rsidRPr="00905955">
        <w:rPr>
          <w:b/>
          <w:lang w:val="de-DE"/>
        </w:rPr>
        <w:t xml:space="preserve"> </w:t>
      </w:r>
      <w:r w:rsidRPr="00905955">
        <w:rPr>
          <w:lang w:val="de-DE"/>
        </w:rPr>
        <w:t xml:space="preserve">des statutarischen Organs, des Aufsichtsorgans oder eines anderen Organs der Buchführungseinheit ermöglicht </w:t>
      </w:r>
      <w:r>
        <w:rPr>
          <w:lang w:val="de-DE"/>
        </w:rPr>
        <w:t xml:space="preserve">werden </w:t>
      </w:r>
      <w:r w:rsidRPr="00905955">
        <w:rPr>
          <w:lang w:val="de-DE"/>
        </w:rPr>
        <w:t>würde.</w:t>
      </w:r>
      <w:r>
        <w:rPr>
          <w:rFonts w:asciiTheme="minorHAnsi" w:eastAsiaTheme="minorHAnsi" w:hAnsiTheme="minorHAnsi" w:cstheme="minorBidi"/>
        </w:rPr>
        <w:t xml:space="preserve"> </w:t>
      </w:r>
    </w:p>
    <w:p w:rsidR="0025303E" w:rsidRDefault="0025303E" w:rsidP="0025303E">
      <w:pPr>
        <w:pStyle w:val="ListParagraph"/>
        <w:ind w:left="426"/>
        <w:jc w:val="both"/>
      </w:pPr>
    </w:p>
    <w:p w:rsidR="0025303E" w:rsidRDefault="0025303E" w:rsidP="0025303E">
      <w:pPr>
        <w:pStyle w:val="ListParagraph"/>
        <w:ind w:left="426"/>
        <w:jc w:val="both"/>
      </w:pPr>
      <w:r>
        <w:lastRenderedPageBreak/>
        <w:t xml:space="preserve">Im Teil  N Buchst. a) </w:t>
      </w:r>
      <w:r w:rsidRPr="00B23B6F">
        <w:t xml:space="preserve">über </w:t>
      </w:r>
      <w:r w:rsidRPr="00B23B6F">
        <w:rPr>
          <w:rFonts w:eastAsiaTheme="minorHAnsi"/>
        </w:rPr>
        <w:t>Geschäftsbeziehungen der Buchführungseinheit und der nahestehenden Unternehmen und Personen w</w:t>
      </w:r>
      <w:r>
        <w:rPr>
          <w:rFonts w:eastAsiaTheme="minorHAnsi"/>
        </w:rPr>
        <w:t xml:space="preserve">ird obligatorisch nur das Verzeichnis der </w:t>
      </w:r>
      <w:r>
        <w:rPr>
          <w:lang w:val="de-DE"/>
        </w:rPr>
        <w:t xml:space="preserve">unter </w:t>
      </w:r>
      <w:r w:rsidRPr="00B23B6F">
        <w:rPr>
          <w:lang w:val="de-DE"/>
        </w:rPr>
        <w:t xml:space="preserve">marktunüblichen </w:t>
      </w:r>
      <w:r>
        <w:rPr>
          <w:lang w:val="de-DE"/>
        </w:rPr>
        <w:t>Bedingungen zustande gekommen</w:t>
      </w:r>
      <w:r>
        <w:rPr>
          <w:rFonts w:asciiTheme="minorHAnsi" w:eastAsiaTheme="minorHAnsi" w:hAnsiTheme="minorHAnsi" w:cstheme="minorBidi"/>
        </w:rPr>
        <w:t xml:space="preserve"> </w:t>
      </w:r>
      <w:r w:rsidRPr="00B23B6F">
        <w:rPr>
          <w:rFonts w:eastAsiaTheme="minorHAnsi"/>
        </w:rPr>
        <w:t>Geschäfte</w:t>
      </w:r>
      <w:r>
        <w:rPr>
          <w:rFonts w:eastAsiaTheme="minorHAnsi"/>
        </w:rPr>
        <w:t xml:space="preserve"> angegeben. </w:t>
      </w:r>
      <w:r w:rsidRPr="00B23B6F">
        <w:t xml:space="preserve"> </w:t>
      </w:r>
    </w:p>
    <w:p w:rsidR="0025303E" w:rsidRPr="002A65A1" w:rsidRDefault="0025303E" w:rsidP="0025303E">
      <w:pPr>
        <w:pStyle w:val="Uvod"/>
        <w:spacing w:line="233" w:lineRule="auto"/>
        <w:ind w:left="450" w:firstLine="0"/>
        <w:rPr>
          <w:sz w:val="20"/>
        </w:rPr>
      </w:pPr>
    </w:p>
    <w:p w:rsidR="0025303E" w:rsidRDefault="0025303E" w:rsidP="0025303E">
      <w:pPr>
        <w:pStyle w:val="Uvod"/>
        <w:ind w:left="426" w:firstLine="0"/>
        <w:rPr>
          <w:sz w:val="20"/>
        </w:rPr>
      </w:pPr>
    </w:p>
    <w:p w:rsidR="0025303E" w:rsidRPr="009D33FD" w:rsidRDefault="0025303E" w:rsidP="0025303E">
      <w:pPr>
        <w:rPr>
          <w:b/>
          <w:sz w:val="26"/>
          <w:lang w:val="de-DE"/>
        </w:rPr>
      </w:pPr>
      <w:r w:rsidRPr="009D33FD">
        <w:rPr>
          <w:b/>
          <w:sz w:val="26"/>
          <w:lang w:val="de-DE"/>
        </w:rPr>
        <w:t>Weitere Informationen</w:t>
      </w:r>
    </w:p>
    <w:p w:rsidR="0025303E" w:rsidRDefault="0025303E" w:rsidP="0025303E">
      <w:pPr>
        <w:pStyle w:val="Uvod"/>
        <w:spacing w:line="233" w:lineRule="auto"/>
        <w:rPr>
          <w:sz w:val="20"/>
          <w:lang w:val="de-DE"/>
        </w:rPr>
      </w:pPr>
    </w:p>
    <w:p w:rsidR="0025303E" w:rsidRDefault="0025303E" w:rsidP="0025303E">
      <w:pPr>
        <w:pStyle w:val="Uvod"/>
        <w:spacing w:line="233" w:lineRule="auto"/>
        <w:rPr>
          <w:sz w:val="20"/>
          <w:lang w:val="de-DE"/>
        </w:rPr>
      </w:pPr>
    </w:p>
    <w:p w:rsidR="0025303E" w:rsidRPr="009338A6" w:rsidRDefault="0025303E" w:rsidP="0025303E">
      <w:pPr>
        <w:pStyle w:val="Uvod"/>
        <w:numPr>
          <w:ilvl w:val="0"/>
          <w:numId w:val="3"/>
        </w:numPr>
        <w:spacing w:line="233" w:lineRule="auto"/>
        <w:ind w:hanging="450"/>
        <w:rPr>
          <w:sz w:val="20"/>
          <w:lang w:val="de-DE"/>
        </w:rPr>
      </w:pPr>
      <w:r w:rsidRPr="00290255">
        <w:rPr>
          <w:sz w:val="20"/>
          <w:lang w:val="de-DE"/>
        </w:rPr>
        <w:t>Alle Dokumente befinde</w:t>
      </w:r>
      <w:r>
        <w:rPr>
          <w:sz w:val="20"/>
          <w:lang w:val="de-DE"/>
        </w:rPr>
        <w:t>n sich in elektronischer Form auf der Seite</w:t>
      </w:r>
      <w:r>
        <w:rPr>
          <w:sz w:val="20"/>
        </w:rPr>
        <w:t>www.iura.sk/vuz.</w:t>
      </w:r>
      <w:r>
        <w:rPr>
          <w:sz w:val="20"/>
          <w:lang w:val="de-DE"/>
        </w:rPr>
        <w:t xml:space="preserve"> </w:t>
      </w:r>
      <w:r w:rsidRPr="00290255">
        <w:rPr>
          <w:sz w:val="20"/>
          <w:lang w:val="de-DE"/>
        </w:rPr>
        <w:t xml:space="preserve">Die Summen- und Zwischensummenzeilen sind in der Bilanz, der Gewinn- und Verlustrechnung und </w:t>
      </w:r>
      <w:r w:rsidRPr="00FD3FBF">
        <w:rPr>
          <w:sz w:val="20"/>
          <w:lang w:val="de-DE"/>
        </w:rPr>
        <w:t>im</w:t>
      </w:r>
      <w:r w:rsidRPr="00290255">
        <w:rPr>
          <w:sz w:val="20"/>
          <w:lang w:val="de-DE"/>
        </w:rPr>
        <w:t xml:space="preserve"> Anlagespiegel </w:t>
      </w:r>
      <w:r>
        <w:rPr>
          <w:sz w:val="20"/>
          <w:lang w:val="de-DE"/>
        </w:rPr>
        <w:t>durch ein</w:t>
      </w:r>
      <w:r w:rsidRPr="00290255">
        <w:rPr>
          <w:sz w:val="20"/>
          <w:lang w:val="de-DE"/>
        </w:rPr>
        <w:t xml:space="preserve"> Passwort geschü</w:t>
      </w:r>
      <w:r>
        <w:rPr>
          <w:sz w:val="20"/>
          <w:lang w:val="de-DE"/>
        </w:rPr>
        <w:t>tzt. Das Passwort lautet IFS2013</w:t>
      </w:r>
      <w:r w:rsidRPr="009338A6">
        <w:rPr>
          <w:sz w:val="20"/>
          <w:lang w:val="de-DE"/>
        </w:rPr>
        <w:t>.</w:t>
      </w:r>
    </w:p>
    <w:p w:rsidR="0025303E" w:rsidRDefault="0025303E" w:rsidP="00E95128">
      <w:pPr>
        <w:pStyle w:val="Heading6"/>
        <w:tabs>
          <w:tab w:val="left" w:pos="993"/>
          <w:tab w:val="right" w:pos="9214"/>
        </w:tabs>
        <w:rPr>
          <w:sz w:val="30"/>
          <w:lang w:val="de-DE"/>
        </w:rPr>
      </w:pPr>
    </w:p>
    <w:p w:rsidR="0025303E" w:rsidRDefault="0025303E" w:rsidP="00E95128">
      <w:pPr>
        <w:pStyle w:val="Heading6"/>
        <w:tabs>
          <w:tab w:val="left" w:pos="993"/>
          <w:tab w:val="right" w:pos="9214"/>
        </w:tabs>
        <w:rPr>
          <w:sz w:val="30"/>
          <w:lang w:val="de-DE"/>
        </w:rPr>
      </w:pPr>
    </w:p>
    <w:p w:rsidR="00E95128" w:rsidRPr="00992AB0" w:rsidRDefault="00E95128" w:rsidP="00E95128">
      <w:pPr>
        <w:pStyle w:val="Uvod"/>
        <w:spacing w:line="233" w:lineRule="auto"/>
        <w:ind w:left="0" w:firstLine="0"/>
        <w:rPr>
          <w:sz w:val="20"/>
          <w:highlight w:val="yellow"/>
          <w:lang w:val="de-DE"/>
        </w:rPr>
      </w:pPr>
    </w:p>
    <w:p w:rsidR="00A11912" w:rsidRPr="00992AB0" w:rsidRDefault="00A11912">
      <w:pPr>
        <w:pStyle w:val="Uvod"/>
        <w:ind w:left="426" w:firstLine="0"/>
        <w:rPr>
          <w:sz w:val="20"/>
          <w:highlight w:val="yellow"/>
        </w:rPr>
      </w:pPr>
    </w:p>
    <w:p w:rsidR="00E95128" w:rsidRPr="00992AB0" w:rsidRDefault="00E95128" w:rsidP="00E95128">
      <w:pPr>
        <w:pStyle w:val="Uvod"/>
        <w:ind w:left="0" w:firstLine="0"/>
        <w:rPr>
          <w:sz w:val="16"/>
          <w:szCs w:val="16"/>
          <w:highlight w:val="yellow"/>
          <w:lang w:val="de-DE"/>
        </w:rPr>
      </w:pPr>
    </w:p>
    <w:p w:rsidR="00E95128" w:rsidRDefault="00E95128" w:rsidP="00E95128">
      <w:pPr>
        <w:pStyle w:val="BodyText"/>
        <w:tabs>
          <w:tab w:val="center" w:pos="1985"/>
          <w:tab w:val="center" w:pos="7655"/>
        </w:tabs>
        <w:ind w:left="0"/>
        <w:rPr>
          <w:lang w:val="de-DE"/>
        </w:rPr>
      </w:pPr>
    </w:p>
    <w:p w:rsidR="00E95128" w:rsidRDefault="00E95128" w:rsidP="00E95128">
      <w:pPr>
        <w:pStyle w:val="BodyText"/>
        <w:tabs>
          <w:tab w:val="center" w:pos="1985"/>
          <w:tab w:val="center" w:pos="7655"/>
        </w:tabs>
        <w:ind w:left="0"/>
        <w:rPr>
          <w:lang w:val="de-DE"/>
        </w:rPr>
      </w:pPr>
    </w:p>
    <w:p w:rsidR="003A3E9A" w:rsidRPr="00660E94" w:rsidRDefault="00E95128" w:rsidP="00E95128">
      <w:pPr>
        <w:pStyle w:val="BodyText"/>
        <w:tabs>
          <w:tab w:val="center" w:pos="1985"/>
          <w:tab w:val="center" w:pos="7655"/>
        </w:tabs>
        <w:ind w:left="0"/>
        <w:rPr>
          <w:b/>
          <w:sz w:val="24"/>
          <w:szCs w:val="24"/>
          <w:lang w:val="de-DE"/>
        </w:rPr>
      </w:pPr>
      <w:r>
        <w:rPr>
          <w:sz w:val="30"/>
          <w:lang w:val="de-DE"/>
        </w:rPr>
        <w:br w:type="page"/>
      </w:r>
    </w:p>
    <w:tbl>
      <w:tblPr>
        <w:tblW w:w="5597" w:type="pct"/>
        <w:jc w:val="center"/>
        <w:tblLayout w:type="fixed"/>
        <w:tblCellMar>
          <w:left w:w="70" w:type="dxa"/>
          <w:right w:w="70" w:type="dxa"/>
        </w:tblCellMar>
        <w:tblLook w:val="04A0"/>
      </w:tblPr>
      <w:tblGrid>
        <w:gridCol w:w="7530"/>
        <w:gridCol w:w="2307"/>
        <w:gridCol w:w="632"/>
      </w:tblGrid>
      <w:tr w:rsidR="003A3E9A" w:rsidRPr="002B2E75" w:rsidTr="003A3E9A">
        <w:trPr>
          <w:trHeight w:val="57"/>
          <w:jc w:val="center"/>
        </w:trPr>
        <w:tc>
          <w:tcPr>
            <w:tcW w:w="3596" w:type="pct"/>
            <w:tcBorders>
              <w:top w:val="nil"/>
              <w:left w:val="nil"/>
              <w:bottom w:val="nil"/>
              <w:right w:val="single" w:sz="4" w:space="0" w:color="auto"/>
            </w:tcBorders>
            <w:noWrap/>
          </w:tcPr>
          <w:p w:rsidR="003A3E9A" w:rsidRPr="002B2E75" w:rsidRDefault="003A3E9A" w:rsidP="003A3E9A">
            <w:pPr>
              <w:rPr>
                <w:rFonts w:cs="Arial"/>
                <w:szCs w:val="22"/>
                <w:lang w:eastAsia="sk-SK"/>
              </w:rPr>
            </w:pPr>
          </w:p>
        </w:tc>
        <w:tc>
          <w:tcPr>
            <w:tcW w:w="1102" w:type="pct"/>
            <w:tcBorders>
              <w:top w:val="single" w:sz="4" w:space="0" w:color="auto"/>
              <w:left w:val="single" w:sz="4" w:space="0" w:color="auto"/>
              <w:bottom w:val="single" w:sz="4" w:space="0" w:color="auto"/>
              <w:right w:val="single" w:sz="4" w:space="0" w:color="auto"/>
            </w:tcBorders>
            <w:noWrap/>
          </w:tcPr>
          <w:p w:rsidR="003A3E9A" w:rsidRPr="002B2E75" w:rsidRDefault="00B430D3" w:rsidP="003A3E9A">
            <w:pPr>
              <w:rPr>
                <w:rFonts w:cs="Arial"/>
                <w:szCs w:val="22"/>
                <w:lang w:eastAsia="sk-SK"/>
              </w:rPr>
            </w:pPr>
            <w:r>
              <w:rPr>
                <w:rFonts w:cs="Arial"/>
                <w:szCs w:val="22"/>
                <w:lang w:eastAsia="sk-SK"/>
              </w:rPr>
              <w:t>Anhang</w:t>
            </w:r>
            <w:r w:rsidRPr="002B2E75">
              <w:rPr>
                <w:rFonts w:cs="Arial"/>
                <w:szCs w:val="22"/>
                <w:lang w:eastAsia="sk-SK"/>
              </w:rPr>
              <w:t xml:space="preserve"> </w:t>
            </w:r>
            <w:r w:rsidR="003A3E9A" w:rsidRPr="002B2E75">
              <w:rPr>
                <w:rFonts w:cs="Arial"/>
                <w:szCs w:val="22"/>
                <w:lang w:eastAsia="sk-SK"/>
              </w:rPr>
              <w:t xml:space="preserve">Úč POD 3 - 04 </w:t>
            </w:r>
          </w:p>
        </w:tc>
        <w:tc>
          <w:tcPr>
            <w:tcW w:w="302" w:type="pct"/>
            <w:tcBorders>
              <w:top w:val="nil"/>
              <w:left w:val="nil"/>
              <w:bottom w:val="nil"/>
              <w:right w:val="nil"/>
            </w:tcBorders>
            <w:noWrap/>
          </w:tcPr>
          <w:p w:rsidR="003A3E9A" w:rsidRPr="002B2E75" w:rsidRDefault="003A3E9A" w:rsidP="003A3E9A">
            <w:pPr>
              <w:rPr>
                <w:rFonts w:cs="Arial"/>
                <w:szCs w:val="22"/>
                <w:lang w:eastAsia="sk-SK"/>
              </w:rPr>
            </w:pPr>
          </w:p>
        </w:tc>
      </w:tr>
    </w:tbl>
    <w:p w:rsidR="003A3E9A" w:rsidRDefault="003A3E9A" w:rsidP="003A3E9A">
      <w:pPr>
        <w:pStyle w:val="BodyText"/>
        <w:ind w:left="0"/>
        <w:jc w:val="center"/>
        <w:rPr>
          <w:b/>
          <w:sz w:val="24"/>
        </w:rPr>
      </w:pPr>
    </w:p>
    <w:p w:rsidR="003A3E9A" w:rsidRPr="00B430D3" w:rsidRDefault="008C782B" w:rsidP="003A3E9A">
      <w:pPr>
        <w:pStyle w:val="BodyText"/>
        <w:ind w:left="0"/>
        <w:jc w:val="center"/>
        <w:rPr>
          <w:b/>
          <w:sz w:val="22"/>
          <w:szCs w:val="22"/>
          <w:lang w:val="de-DE"/>
        </w:rPr>
      </w:pPr>
      <w:r w:rsidRPr="008C782B">
        <w:rPr>
          <w:b/>
          <w:sz w:val="22"/>
          <w:szCs w:val="22"/>
          <w:lang w:val="de-DE"/>
        </w:rPr>
        <w:t>Anhang</w:t>
      </w:r>
    </w:p>
    <w:p w:rsidR="003A3E9A" w:rsidRPr="00B430D3" w:rsidRDefault="008C782B" w:rsidP="003A3E9A">
      <w:pPr>
        <w:pStyle w:val="BodyText"/>
        <w:ind w:left="0"/>
        <w:jc w:val="center"/>
        <w:rPr>
          <w:b/>
          <w:sz w:val="22"/>
          <w:szCs w:val="22"/>
          <w:lang w:val="de-DE"/>
        </w:rPr>
      </w:pPr>
      <w:r w:rsidRPr="008C782B">
        <w:rPr>
          <w:b/>
          <w:sz w:val="22"/>
          <w:szCs w:val="22"/>
          <w:lang w:val="de-DE"/>
        </w:rPr>
        <w:t>zum Einzelabschluss</w:t>
      </w:r>
    </w:p>
    <w:p w:rsidR="003A3E9A" w:rsidRPr="00B430D3" w:rsidRDefault="008C782B" w:rsidP="003A3E9A">
      <w:pPr>
        <w:pStyle w:val="BodyText"/>
        <w:ind w:left="0"/>
        <w:jc w:val="center"/>
        <w:rPr>
          <w:b/>
          <w:sz w:val="22"/>
          <w:szCs w:val="22"/>
          <w:lang w:val="de-DE"/>
        </w:rPr>
      </w:pPr>
      <w:r w:rsidRPr="008C782B">
        <w:rPr>
          <w:b/>
          <w:sz w:val="22"/>
          <w:szCs w:val="22"/>
          <w:lang w:val="de-DE"/>
        </w:rPr>
        <w:t>erstellt zum 31. Dezember 201</w:t>
      </w:r>
      <w:r w:rsidR="00171D95">
        <w:rPr>
          <w:b/>
          <w:sz w:val="22"/>
          <w:szCs w:val="22"/>
          <w:lang w:val="de-DE"/>
        </w:rPr>
        <w:t>3</w:t>
      </w:r>
    </w:p>
    <w:p w:rsidR="003A3E9A" w:rsidRPr="007E7D8B" w:rsidRDefault="003A3E9A" w:rsidP="003A3E9A">
      <w:pPr>
        <w:pStyle w:val="BodyText"/>
        <w:ind w:left="0"/>
        <w:rPr>
          <w:b/>
          <w:sz w:val="24"/>
          <w:lang w:val="de-DE"/>
        </w:rPr>
      </w:pPr>
    </w:p>
    <w:p w:rsidR="003A3E9A" w:rsidRPr="007E7D8B" w:rsidRDefault="003A3E9A" w:rsidP="003A3E9A">
      <w:pPr>
        <w:pStyle w:val="BodyText"/>
        <w:ind w:left="0"/>
        <w:rPr>
          <w:sz w:val="24"/>
          <w:lang w:val="de-DE"/>
        </w:rPr>
      </w:pPr>
    </w:p>
    <w:tbl>
      <w:tblPr>
        <w:tblW w:w="5089" w:type="pct"/>
        <w:jc w:val="center"/>
        <w:tblLayout w:type="fixed"/>
        <w:tblCellMar>
          <w:left w:w="70" w:type="dxa"/>
          <w:right w:w="70" w:type="dxa"/>
        </w:tblCellMar>
        <w:tblLook w:val="04A0"/>
      </w:tblPr>
      <w:tblGrid>
        <w:gridCol w:w="304"/>
        <w:gridCol w:w="290"/>
        <w:gridCol w:w="340"/>
        <w:gridCol w:w="240"/>
        <w:gridCol w:w="286"/>
        <w:gridCol w:w="246"/>
        <w:gridCol w:w="253"/>
        <w:gridCol w:w="247"/>
        <w:gridCol w:w="213"/>
        <w:gridCol w:w="320"/>
        <w:gridCol w:w="284"/>
        <w:gridCol w:w="251"/>
        <w:gridCol w:w="247"/>
        <w:gridCol w:w="270"/>
        <w:gridCol w:w="234"/>
        <w:gridCol w:w="297"/>
        <w:gridCol w:w="238"/>
        <w:gridCol w:w="206"/>
        <w:gridCol w:w="32"/>
        <w:gridCol w:w="240"/>
        <w:gridCol w:w="217"/>
        <w:gridCol w:w="139"/>
        <w:gridCol w:w="143"/>
        <w:gridCol w:w="74"/>
        <w:gridCol w:w="215"/>
        <w:gridCol w:w="36"/>
        <w:gridCol w:w="30"/>
        <w:gridCol w:w="156"/>
        <w:gridCol w:w="133"/>
        <w:gridCol w:w="109"/>
        <w:gridCol w:w="114"/>
        <w:gridCol w:w="112"/>
        <w:gridCol w:w="13"/>
        <w:gridCol w:w="116"/>
        <w:gridCol w:w="173"/>
        <w:gridCol w:w="40"/>
        <w:gridCol w:w="27"/>
        <w:gridCol w:w="194"/>
        <w:gridCol w:w="51"/>
        <w:gridCol w:w="84"/>
        <w:gridCol w:w="200"/>
        <w:gridCol w:w="72"/>
        <w:gridCol w:w="263"/>
        <w:gridCol w:w="21"/>
        <w:gridCol w:w="265"/>
        <w:gridCol w:w="27"/>
        <w:gridCol w:w="46"/>
        <w:gridCol w:w="181"/>
        <w:gridCol w:w="27"/>
        <w:gridCol w:w="105"/>
        <w:gridCol w:w="152"/>
        <w:gridCol w:w="25"/>
        <w:gridCol w:w="76"/>
        <w:gridCol w:w="72"/>
        <w:gridCol w:w="112"/>
        <w:gridCol w:w="70"/>
        <w:gridCol w:w="70"/>
        <w:gridCol w:w="105"/>
        <w:gridCol w:w="55"/>
        <w:gridCol w:w="200"/>
        <w:gridCol w:w="160"/>
      </w:tblGrid>
      <w:tr w:rsidR="00B75EA7" w:rsidRPr="007E7D8B" w:rsidTr="00AC0D5A">
        <w:trPr>
          <w:trHeight w:val="57"/>
          <w:jc w:val="center"/>
        </w:trPr>
        <w:tc>
          <w:tcPr>
            <w:tcW w:w="16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8"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6" w:type="pct"/>
            <w:tcBorders>
              <w:top w:val="nil"/>
              <w:left w:val="nil"/>
              <w:bottom w:val="nil"/>
              <w:right w:val="nil"/>
            </w:tcBorders>
            <w:noWrap/>
          </w:tcPr>
          <w:p w:rsidR="003A3E9A" w:rsidRPr="007E7D8B" w:rsidRDefault="00687C63" w:rsidP="007E7D8B">
            <w:pPr>
              <w:rPr>
                <w:rFonts w:cs="Arial"/>
                <w:sz w:val="18"/>
                <w:szCs w:val="18"/>
                <w:lang w:val="de-DE" w:eastAsia="sk-SK"/>
              </w:rPr>
            </w:pPr>
            <w:r w:rsidRPr="00687C63">
              <w:rPr>
                <w:rFonts w:cs="Arial"/>
                <w:sz w:val="18"/>
                <w:szCs w:val="18"/>
                <w:lang w:val="de-DE" w:eastAsia="sk-SK"/>
              </w:rPr>
              <w:t>in</w:t>
            </w:r>
          </w:p>
        </w:tc>
        <w:tc>
          <w:tcPr>
            <w:tcW w:w="125" w:type="pct"/>
            <w:tcBorders>
              <w:top w:val="nil"/>
              <w:left w:val="nil"/>
              <w:bottom w:val="nil"/>
              <w:right w:val="single" w:sz="6" w:space="0" w:color="auto"/>
            </w:tcBorders>
            <w:noWrap/>
          </w:tcPr>
          <w:p w:rsidR="003A3E9A" w:rsidRPr="007E7D8B" w:rsidRDefault="003A3E9A" w:rsidP="003A3E9A">
            <w:pPr>
              <w:rPr>
                <w:rFonts w:cs="Arial"/>
                <w:sz w:val="18"/>
                <w:szCs w:val="18"/>
                <w:lang w:val="de-DE" w:eastAsia="sk-SK"/>
              </w:rPr>
            </w:pPr>
          </w:p>
        </w:tc>
        <w:tc>
          <w:tcPr>
            <w:tcW w:w="125" w:type="pct"/>
            <w:gridSpan w:val="2"/>
            <w:tcBorders>
              <w:top w:val="single" w:sz="6" w:space="0" w:color="auto"/>
              <w:left w:val="single" w:sz="6" w:space="0" w:color="auto"/>
              <w:bottom w:val="single" w:sz="6" w:space="0" w:color="auto"/>
              <w:right w:val="single" w:sz="6" w:space="0" w:color="auto"/>
            </w:tcBorders>
            <w:noWrap/>
          </w:tcPr>
          <w:p w:rsidR="003A3E9A" w:rsidRPr="007E7D8B" w:rsidRDefault="003A3E9A" w:rsidP="003A3E9A">
            <w:pPr>
              <w:rPr>
                <w:rFonts w:cs="Arial"/>
                <w:sz w:val="18"/>
                <w:szCs w:val="18"/>
                <w:lang w:val="de-DE" w:eastAsia="sk-SK"/>
              </w:rPr>
            </w:pPr>
          </w:p>
        </w:tc>
        <w:tc>
          <w:tcPr>
            <w:tcW w:w="126" w:type="pct"/>
            <w:tcBorders>
              <w:top w:val="nil"/>
              <w:left w:val="single" w:sz="6" w:space="0" w:color="auto"/>
              <w:bottom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w:t>
            </w:r>
          </w:p>
        </w:tc>
        <w:tc>
          <w:tcPr>
            <w:tcW w:w="970" w:type="pct"/>
            <w:gridSpan w:val="17"/>
            <w:tcBorders>
              <w:top w:val="nil"/>
              <w:left w:val="nil"/>
              <w:bottom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xml:space="preserve"> Eurocent</w:t>
            </w:r>
          </w:p>
        </w:tc>
        <w:tc>
          <w:tcPr>
            <w:tcW w:w="173" w:type="pct"/>
            <w:gridSpan w:val="3"/>
            <w:noWrap/>
          </w:tcPr>
          <w:p w:rsidR="003A3E9A" w:rsidRPr="007E7D8B" w:rsidRDefault="003A3E9A" w:rsidP="003A3E9A">
            <w:pPr>
              <w:rPr>
                <w:rFonts w:cs="Arial"/>
                <w:sz w:val="18"/>
                <w:szCs w:val="18"/>
                <w:lang w:val="de-DE" w:eastAsia="sk-SK"/>
              </w:rPr>
            </w:pPr>
          </w:p>
        </w:tc>
        <w:tc>
          <w:tcPr>
            <w:tcW w:w="143" w:type="pct"/>
            <w:gridSpan w:val="2"/>
            <w:tcBorders>
              <w:right w:val="single" w:sz="6" w:space="0" w:color="auto"/>
            </w:tcBorders>
            <w:noWrap/>
          </w:tcPr>
          <w:p w:rsidR="003A3E9A" w:rsidRPr="007E7D8B" w:rsidRDefault="003A3E9A" w:rsidP="003A3E9A">
            <w:pPr>
              <w:rPr>
                <w:rFonts w:cs="Arial"/>
                <w:sz w:val="18"/>
                <w:szCs w:val="18"/>
                <w:lang w:val="de-DE" w:eastAsia="sk-SK"/>
              </w:rPr>
            </w:pPr>
          </w:p>
        </w:tc>
        <w:tc>
          <w:tcPr>
            <w:tcW w:w="149"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x</w:t>
            </w:r>
          </w:p>
        </w:tc>
        <w:tc>
          <w:tcPr>
            <w:tcW w:w="917" w:type="pct"/>
            <w:gridSpan w:val="17"/>
            <w:tcBorders>
              <w:left w:val="single" w:sz="6" w:space="0" w:color="auto"/>
            </w:tcBorders>
          </w:tcPr>
          <w:p w:rsidR="003A3E9A" w:rsidRPr="007E7D8B" w:rsidRDefault="00687C63" w:rsidP="002E4EB2">
            <w:pPr>
              <w:rPr>
                <w:rFonts w:cs="Arial"/>
                <w:sz w:val="18"/>
                <w:szCs w:val="18"/>
                <w:lang w:val="de-DE" w:eastAsia="sk-SK"/>
              </w:rPr>
            </w:pPr>
            <w:r w:rsidRPr="00687C63">
              <w:rPr>
                <w:rFonts w:cs="Arial"/>
                <w:sz w:val="18"/>
                <w:szCs w:val="18"/>
                <w:lang w:val="de-DE" w:eastAsia="sk-SK"/>
              </w:rPr>
              <w:t>- ganzen Euro</w:t>
            </w:r>
          </w:p>
        </w:tc>
      </w:tr>
      <w:tr w:rsidR="00585B18" w:rsidRPr="007E7D8B" w:rsidTr="00AC0D5A">
        <w:trPr>
          <w:trHeight w:val="57"/>
          <w:jc w:val="center"/>
        </w:trPr>
        <w:tc>
          <w:tcPr>
            <w:tcW w:w="160" w:type="pct"/>
            <w:tcBorders>
              <w:left w:val="nil"/>
              <w:bottom w:val="nil"/>
              <w:right w:val="nil"/>
            </w:tcBorders>
            <w:noWrap/>
          </w:tcPr>
          <w:p w:rsidR="003A3E9A" w:rsidRPr="007E7D8B" w:rsidRDefault="003A3E9A" w:rsidP="003A3E9A">
            <w:pPr>
              <w:rPr>
                <w:rFonts w:cs="Arial"/>
                <w:sz w:val="18"/>
                <w:szCs w:val="18"/>
                <w:lang w:val="de-DE" w:eastAsia="sk-SK"/>
              </w:rPr>
            </w:pPr>
          </w:p>
        </w:tc>
        <w:tc>
          <w:tcPr>
            <w:tcW w:w="153" w:type="pct"/>
            <w:tcBorders>
              <w:left w:val="nil"/>
              <w:bottom w:val="nil"/>
              <w:right w:val="nil"/>
            </w:tcBorders>
            <w:noWrap/>
          </w:tcPr>
          <w:p w:rsidR="003A3E9A" w:rsidRPr="007E7D8B" w:rsidRDefault="003A3E9A" w:rsidP="003A3E9A">
            <w:pPr>
              <w:rPr>
                <w:rFonts w:cs="Arial"/>
                <w:sz w:val="18"/>
                <w:szCs w:val="18"/>
                <w:lang w:val="de-DE" w:eastAsia="sk-SK"/>
              </w:rPr>
            </w:pPr>
          </w:p>
          <w:p w:rsidR="003A3E9A" w:rsidRPr="007E7D8B" w:rsidRDefault="003A3E9A" w:rsidP="003A3E9A">
            <w:pPr>
              <w:rPr>
                <w:rFonts w:cs="Arial"/>
                <w:sz w:val="18"/>
                <w:szCs w:val="18"/>
                <w:lang w:val="de-DE" w:eastAsia="sk-SK"/>
              </w:rPr>
            </w:pPr>
          </w:p>
        </w:tc>
        <w:tc>
          <w:tcPr>
            <w:tcW w:w="179" w:type="pct"/>
            <w:tcBorders>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left w:val="nil"/>
              <w:bottom w:val="nil"/>
              <w:right w:val="nil"/>
            </w:tcBorders>
            <w:noWrap/>
          </w:tcPr>
          <w:p w:rsidR="003A3E9A" w:rsidRPr="007E7D8B" w:rsidRDefault="003A3E9A" w:rsidP="003A3E9A">
            <w:pPr>
              <w:rPr>
                <w:rFonts w:cs="Arial"/>
                <w:sz w:val="18"/>
                <w:szCs w:val="18"/>
                <w:lang w:val="de-DE" w:eastAsia="sk-SK"/>
              </w:rPr>
            </w:pPr>
          </w:p>
        </w:tc>
        <w:tc>
          <w:tcPr>
            <w:tcW w:w="129" w:type="pct"/>
            <w:tcBorders>
              <w:left w:val="nil"/>
              <w:bottom w:val="nil"/>
              <w:right w:val="nil"/>
            </w:tcBorders>
            <w:noWrap/>
          </w:tcPr>
          <w:p w:rsidR="003A3E9A" w:rsidRPr="007E7D8B" w:rsidRDefault="003A3E9A" w:rsidP="003A3E9A">
            <w:pPr>
              <w:rPr>
                <w:rFonts w:cs="Arial"/>
                <w:sz w:val="18"/>
                <w:szCs w:val="18"/>
                <w:lang w:val="de-DE" w:eastAsia="sk-SK"/>
              </w:rPr>
            </w:pPr>
          </w:p>
        </w:tc>
        <w:tc>
          <w:tcPr>
            <w:tcW w:w="133" w:type="pct"/>
            <w:tcBorders>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left w:val="nil"/>
              <w:bottom w:val="nil"/>
              <w:right w:val="nil"/>
            </w:tcBorders>
            <w:noWrap/>
          </w:tcPr>
          <w:p w:rsidR="003A3E9A" w:rsidRPr="007E7D8B" w:rsidRDefault="003A3E9A" w:rsidP="003A3E9A">
            <w:pPr>
              <w:rPr>
                <w:rFonts w:cs="Arial"/>
                <w:sz w:val="18"/>
                <w:szCs w:val="18"/>
                <w:lang w:val="de-DE" w:eastAsia="sk-SK"/>
              </w:rPr>
            </w:pPr>
          </w:p>
        </w:tc>
        <w:tc>
          <w:tcPr>
            <w:tcW w:w="112" w:type="pct"/>
            <w:tcBorders>
              <w:left w:val="nil"/>
              <w:bottom w:val="nil"/>
              <w:right w:val="nil"/>
            </w:tcBorders>
            <w:noWrap/>
          </w:tcPr>
          <w:p w:rsidR="003A3E9A" w:rsidRPr="007E7D8B" w:rsidRDefault="003A3E9A" w:rsidP="003A3E9A">
            <w:pPr>
              <w:rPr>
                <w:rFonts w:cs="Arial"/>
                <w:sz w:val="18"/>
                <w:szCs w:val="18"/>
                <w:lang w:val="de-DE" w:eastAsia="sk-SK"/>
              </w:rPr>
            </w:pPr>
          </w:p>
        </w:tc>
        <w:tc>
          <w:tcPr>
            <w:tcW w:w="168" w:type="pct"/>
            <w:tcBorders>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left w:val="nil"/>
              <w:bottom w:val="nil"/>
              <w:right w:val="nil"/>
            </w:tcBorders>
            <w:noWrap/>
          </w:tcPr>
          <w:p w:rsidR="003A3E9A" w:rsidRPr="007E7D8B" w:rsidRDefault="003A3E9A" w:rsidP="003A3E9A">
            <w:pPr>
              <w:rPr>
                <w:rFonts w:cs="Arial"/>
                <w:sz w:val="18"/>
                <w:szCs w:val="18"/>
                <w:lang w:val="de-DE" w:eastAsia="sk-SK"/>
              </w:rPr>
            </w:pPr>
          </w:p>
        </w:tc>
        <w:tc>
          <w:tcPr>
            <w:tcW w:w="132" w:type="pct"/>
            <w:tcBorders>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left w:val="nil"/>
              <w:bottom w:val="nil"/>
              <w:right w:val="nil"/>
            </w:tcBorders>
            <w:noWrap/>
          </w:tcPr>
          <w:p w:rsidR="003A3E9A" w:rsidRPr="007E7D8B" w:rsidRDefault="003A3E9A" w:rsidP="003A3E9A">
            <w:pPr>
              <w:rPr>
                <w:rFonts w:cs="Arial"/>
                <w:sz w:val="18"/>
                <w:szCs w:val="18"/>
                <w:lang w:val="de-DE" w:eastAsia="sk-SK"/>
              </w:rPr>
            </w:pPr>
          </w:p>
        </w:tc>
        <w:tc>
          <w:tcPr>
            <w:tcW w:w="142" w:type="pct"/>
            <w:tcBorders>
              <w:left w:val="nil"/>
              <w:bottom w:val="nil"/>
              <w:right w:val="nil"/>
            </w:tcBorders>
            <w:noWrap/>
          </w:tcPr>
          <w:p w:rsidR="003A3E9A" w:rsidRPr="007E7D8B" w:rsidRDefault="003A3E9A" w:rsidP="003A3E9A">
            <w:pPr>
              <w:rPr>
                <w:rFonts w:cs="Arial"/>
                <w:sz w:val="18"/>
                <w:szCs w:val="18"/>
                <w:lang w:val="de-DE" w:eastAsia="sk-SK"/>
              </w:rPr>
            </w:pPr>
          </w:p>
        </w:tc>
        <w:tc>
          <w:tcPr>
            <w:tcW w:w="404"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438" w:type="pct"/>
            <w:gridSpan w:val="5"/>
            <w:tcBorders>
              <w:left w:val="nil"/>
              <w:right w:val="nil"/>
            </w:tcBorders>
            <w:noWrap/>
          </w:tcPr>
          <w:p w:rsidR="003A3E9A" w:rsidRPr="007E7D8B" w:rsidRDefault="003A3E9A" w:rsidP="003A3E9A">
            <w:pPr>
              <w:rPr>
                <w:rFonts w:cs="Arial"/>
                <w:sz w:val="18"/>
                <w:szCs w:val="18"/>
                <w:lang w:val="de-DE" w:eastAsia="sk-SK"/>
              </w:rPr>
            </w:pPr>
          </w:p>
        </w:tc>
        <w:tc>
          <w:tcPr>
            <w:tcW w:w="114" w:type="pct"/>
            <w:gridSpan w:val="2"/>
            <w:tcBorders>
              <w:left w:val="nil"/>
              <w:right w:val="nil"/>
            </w:tcBorders>
            <w:noWrap/>
          </w:tcPr>
          <w:p w:rsidR="003A3E9A" w:rsidRPr="007E7D8B" w:rsidRDefault="003A3E9A" w:rsidP="003A3E9A">
            <w:pPr>
              <w:rPr>
                <w:rFonts w:cs="Arial"/>
                <w:sz w:val="18"/>
                <w:szCs w:val="18"/>
                <w:lang w:val="de-DE" w:eastAsia="sk-SK"/>
              </w:rPr>
            </w:pPr>
          </w:p>
        </w:tc>
        <w:tc>
          <w:tcPr>
            <w:tcW w:w="543" w:type="pct"/>
            <w:gridSpan w:val="10"/>
            <w:tcBorders>
              <w:left w:val="nil"/>
              <w:right w:val="nil"/>
            </w:tcBorders>
            <w:noWrap/>
          </w:tcPr>
          <w:p w:rsidR="003A3E9A" w:rsidRPr="007E7D8B" w:rsidRDefault="003A3E9A" w:rsidP="003A3E9A">
            <w:pPr>
              <w:rPr>
                <w:rFonts w:cs="Arial"/>
                <w:sz w:val="18"/>
                <w:szCs w:val="18"/>
                <w:lang w:val="de-DE" w:eastAsia="sk-SK"/>
              </w:rPr>
            </w:pPr>
          </w:p>
        </w:tc>
        <w:tc>
          <w:tcPr>
            <w:tcW w:w="442" w:type="pct"/>
            <w:gridSpan w:val="8"/>
            <w:tcBorders>
              <w:left w:val="nil"/>
              <w:right w:val="nil"/>
            </w:tcBorders>
            <w:noWrap/>
          </w:tcPr>
          <w:p w:rsidR="003A3E9A" w:rsidRPr="007E7D8B" w:rsidRDefault="003A3E9A" w:rsidP="003A3E9A">
            <w:pPr>
              <w:rPr>
                <w:rFonts w:cs="Arial"/>
                <w:sz w:val="18"/>
                <w:szCs w:val="18"/>
                <w:lang w:val="de-DE" w:eastAsia="sk-SK"/>
              </w:rPr>
            </w:pPr>
          </w:p>
        </w:tc>
        <w:tc>
          <w:tcPr>
            <w:tcW w:w="490" w:type="pct"/>
            <w:gridSpan w:val="8"/>
            <w:tcBorders>
              <w:left w:val="nil"/>
              <w:right w:val="nil"/>
            </w:tcBorders>
            <w:noWrap/>
          </w:tcPr>
          <w:p w:rsidR="003A3E9A" w:rsidRPr="007E7D8B" w:rsidRDefault="003A3E9A" w:rsidP="003A3E9A">
            <w:pPr>
              <w:rPr>
                <w:rFonts w:cs="Arial"/>
                <w:sz w:val="18"/>
                <w:szCs w:val="18"/>
                <w:lang w:val="de-DE" w:eastAsia="sk-SK"/>
              </w:rPr>
            </w:pPr>
          </w:p>
        </w:tc>
        <w:tc>
          <w:tcPr>
            <w:tcW w:w="133" w:type="pct"/>
            <w:gridSpan w:val="3"/>
            <w:tcBorders>
              <w:left w:val="nil"/>
              <w:right w:val="nil"/>
            </w:tcBorders>
            <w:noWrap/>
          </w:tcPr>
          <w:p w:rsidR="003A3E9A" w:rsidRPr="007E7D8B" w:rsidRDefault="003A3E9A" w:rsidP="003A3E9A">
            <w:pPr>
              <w:rPr>
                <w:rFonts w:cs="Arial"/>
                <w:sz w:val="18"/>
                <w:szCs w:val="18"/>
                <w:lang w:val="de-DE" w:eastAsia="sk-SK"/>
              </w:rPr>
            </w:pPr>
          </w:p>
        </w:tc>
        <w:tc>
          <w:tcPr>
            <w:tcW w:w="443" w:type="pct"/>
            <w:gridSpan w:val="8"/>
            <w:tcBorders>
              <w:left w:val="nil"/>
              <w:bottom w:val="nil"/>
              <w:right w:val="nil"/>
            </w:tcBorders>
            <w:noWrap/>
          </w:tcPr>
          <w:p w:rsidR="003A3E9A" w:rsidRPr="007E7D8B" w:rsidRDefault="003A3E9A" w:rsidP="003A3E9A">
            <w:pPr>
              <w:rPr>
                <w:rFonts w:cs="Arial"/>
                <w:sz w:val="18"/>
                <w:szCs w:val="18"/>
                <w:lang w:val="de-DE" w:eastAsia="sk-SK"/>
              </w:rPr>
            </w:pPr>
          </w:p>
        </w:tc>
      </w:tr>
      <w:tr w:rsidR="00585B18" w:rsidRPr="007E7D8B" w:rsidTr="00AC0D5A">
        <w:trPr>
          <w:trHeight w:val="57"/>
          <w:jc w:val="center"/>
        </w:trPr>
        <w:tc>
          <w:tcPr>
            <w:tcW w:w="160" w:type="pct"/>
            <w:tcBorders>
              <w:left w:val="nil"/>
              <w:bottom w:val="nil"/>
              <w:right w:val="nil"/>
            </w:tcBorders>
            <w:noWrap/>
          </w:tcPr>
          <w:p w:rsidR="003A3E9A" w:rsidRPr="007E7D8B" w:rsidRDefault="003A3E9A" w:rsidP="003A3E9A">
            <w:pPr>
              <w:rPr>
                <w:rFonts w:cs="Arial"/>
                <w:sz w:val="18"/>
                <w:szCs w:val="18"/>
                <w:lang w:val="de-DE" w:eastAsia="sk-SK"/>
              </w:rPr>
            </w:pPr>
          </w:p>
        </w:tc>
        <w:tc>
          <w:tcPr>
            <w:tcW w:w="153" w:type="pct"/>
            <w:tcBorders>
              <w:left w:val="nil"/>
              <w:bottom w:val="nil"/>
              <w:right w:val="nil"/>
            </w:tcBorders>
            <w:noWrap/>
          </w:tcPr>
          <w:p w:rsidR="003A3E9A" w:rsidRPr="007E7D8B" w:rsidRDefault="003A3E9A" w:rsidP="003A3E9A">
            <w:pPr>
              <w:rPr>
                <w:rFonts w:cs="Arial"/>
                <w:sz w:val="18"/>
                <w:szCs w:val="18"/>
                <w:lang w:val="de-DE" w:eastAsia="sk-SK"/>
              </w:rPr>
            </w:pPr>
          </w:p>
        </w:tc>
        <w:tc>
          <w:tcPr>
            <w:tcW w:w="179" w:type="pct"/>
            <w:tcBorders>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left w:val="nil"/>
              <w:bottom w:val="nil"/>
              <w:right w:val="nil"/>
            </w:tcBorders>
            <w:noWrap/>
          </w:tcPr>
          <w:p w:rsidR="003A3E9A" w:rsidRPr="007E7D8B" w:rsidRDefault="003A3E9A" w:rsidP="003A3E9A">
            <w:pPr>
              <w:rPr>
                <w:rFonts w:cs="Arial"/>
                <w:sz w:val="18"/>
                <w:szCs w:val="18"/>
                <w:lang w:val="de-DE" w:eastAsia="sk-SK"/>
              </w:rPr>
            </w:pPr>
          </w:p>
        </w:tc>
        <w:tc>
          <w:tcPr>
            <w:tcW w:w="129" w:type="pct"/>
            <w:tcBorders>
              <w:left w:val="nil"/>
              <w:bottom w:val="nil"/>
              <w:right w:val="nil"/>
            </w:tcBorders>
            <w:noWrap/>
          </w:tcPr>
          <w:p w:rsidR="003A3E9A" w:rsidRPr="007E7D8B" w:rsidRDefault="003A3E9A" w:rsidP="003A3E9A">
            <w:pPr>
              <w:rPr>
                <w:rFonts w:cs="Arial"/>
                <w:sz w:val="18"/>
                <w:szCs w:val="18"/>
                <w:lang w:val="de-DE" w:eastAsia="sk-SK"/>
              </w:rPr>
            </w:pPr>
          </w:p>
        </w:tc>
        <w:tc>
          <w:tcPr>
            <w:tcW w:w="133" w:type="pct"/>
            <w:tcBorders>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left w:val="nil"/>
              <w:bottom w:val="nil"/>
              <w:right w:val="nil"/>
            </w:tcBorders>
            <w:noWrap/>
          </w:tcPr>
          <w:p w:rsidR="003A3E9A" w:rsidRPr="007E7D8B" w:rsidRDefault="003A3E9A" w:rsidP="003A3E9A">
            <w:pPr>
              <w:rPr>
                <w:rFonts w:cs="Arial"/>
                <w:sz w:val="18"/>
                <w:szCs w:val="18"/>
                <w:lang w:val="de-DE" w:eastAsia="sk-SK"/>
              </w:rPr>
            </w:pPr>
          </w:p>
        </w:tc>
        <w:tc>
          <w:tcPr>
            <w:tcW w:w="112" w:type="pct"/>
            <w:tcBorders>
              <w:left w:val="nil"/>
              <w:bottom w:val="nil"/>
              <w:right w:val="nil"/>
            </w:tcBorders>
            <w:noWrap/>
          </w:tcPr>
          <w:p w:rsidR="003A3E9A" w:rsidRPr="007E7D8B" w:rsidRDefault="003A3E9A" w:rsidP="003A3E9A">
            <w:pPr>
              <w:rPr>
                <w:rFonts w:cs="Arial"/>
                <w:sz w:val="18"/>
                <w:szCs w:val="18"/>
                <w:lang w:val="de-DE" w:eastAsia="sk-SK"/>
              </w:rPr>
            </w:pPr>
          </w:p>
        </w:tc>
        <w:tc>
          <w:tcPr>
            <w:tcW w:w="168" w:type="pct"/>
            <w:tcBorders>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left w:val="nil"/>
              <w:bottom w:val="nil"/>
              <w:right w:val="nil"/>
            </w:tcBorders>
            <w:noWrap/>
          </w:tcPr>
          <w:p w:rsidR="003A3E9A" w:rsidRPr="007E7D8B" w:rsidRDefault="003A3E9A" w:rsidP="003A3E9A">
            <w:pPr>
              <w:rPr>
                <w:rFonts w:cs="Arial"/>
                <w:sz w:val="18"/>
                <w:szCs w:val="18"/>
                <w:lang w:val="de-DE" w:eastAsia="sk-SK"/>
              </w:rPr>
            </w:pPr>
          </w:p>
        </w:tc>
        <w:tc>
          <w:tcPr>
            <w:tcW w:w="132" w:type="pct"/>
            <w:tcBorders>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left w:val="nil"/>
              <w:bottom w:val="nil"/>
              <w:right w:val="nil"/>
            </w:tcBorders>
            <w:noWrap/>
          </w:tcPr>
          <w:p w:rsidR="003A3E9A" w:rsidRPr="007E7D8B" w:rsidRDefault="003A3E9A" w:rsidP="003A3E9A">
            <w:pPr>
              <w:rPr>
                <w:rFonts w:cs="Arial"/>
                <w:sz w:val="18"/>
                <w:szCs w:val="18"/>
                <w:lang w:val="de-DE" w:eastAsia="sk-SK"/>
              </w:rPr>
            </w:pPr>
          </w:p>
        </w:tc>
        <w:tc>
          <w:tcPr>
            <w:tcW w:w="142" w:type="pct"/>
            <w:tcBorders>
              <w:left w:val="nil"/>
              <w:bottom w:val="nil"/>
              <w:right w:val="nil"/>
            </w:tcBorders>
            <w:noWrap/>
          </w:tcPr>
          <w:p w:rsidR="003A3E9A" w:rsidRPr="007E7D8B" w:rsidRDefault="003A3E9A" w:rsidP="003A3E9A">
            <w:pPr>
              <w:rPr>
                <w:rFonts w:cs="Arial"/>
                <w:sz w:val="18"/>
                <w:szCs w:val="18"/>
                <w:lang w:val="de-DE" w:eastAsia="sk-SK"/>
              </w:rPr>
            </w:pPr>
          </w:p>
        </w:tc>
        <w:tc>
          <w:tcPr>
            <w:tcW w:w="404"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438" w:type="pct"/>
            <w:gridSpan w:val="5"/>
            <w:tcBorders>
              <w:left w:val="nil"/>
              <w:right w:val="nil"/>
            </w:tcBorders>
            <w:noWrap/>
          </w:tcPr>
          <w:p w:rsidR="003A3E9A" w:rsidRPr="007E7D8B" w:rsidRDefault="00687C63" w:rsidP="003A3E9A">
            <w:pPr>
              <w:ind w:left="-44" w:hanging="27"/>
              <w:rPr>
                <w:rFonts w:cs="Arial"/>
                <w:sz w:val="18"/>
                <w:szCs w:val="18"/>
                <w:lang w:val="de-DE" w:eastAsia="sk-SK"/>
              </w:rPr>
            </w:pPr>
            <w:r w:rsidRPr="00687C63">
              <w:rPr>
                <w:rFonts w:cs="Arial"/>
                <w:sz w:val="18"/>
                <w:szCs w:val="18"/>
                <w:lang w:val="de-DE" w:eastAsia="sk-SK"/>
              </w:rPr>
              <w:t xml:space="preserve"> Monat</w:t>
            </w:r>
          </w:p>
        </w:tc>
        <w:tc>
          <w:tcPr>
            <w:tcW w:w="114" w:type="pct"/>
            <w:gridSpan w:val="2"/>
            <w:tcBorders>
              <w:left w:val="nil"/>
              <w:right w:val="nil"/>
            </w:tcBorders>
            <w:noWrap/>
          </w:tcPr>
          <w:p w:rsidR="003A3E9A" w:rsidRPr="007E7D8B" w:rsidRDefault="003A3E9A" w:rsidP="003A3E9A">
            <w:pPr>
              <w:rPr>
                <w:rFonts w:cs="Arial"/>
                <w:sz w:val="18"/>
                <w:szCs w:val="18"/>
                <w:lang w:val="de-DE" w:eastAsia="sk-SK"/>
              </w:rPr>
            </w:pPr>
          </w:p>
        </w:tc>
        <w:tc>
          <w:tcPr>
            <w:tcW w:w="543" w:type="pct"/>
            <w:gridSpan w:val="10"/>
            <w:tcBorders>
              <w:left w:val="nil"/>
              <w:bottom w:val="single" w:sz="6" w:space="0" w:color="auto"/>
              <w:right w:val="nil"/>
            </w:tcBorders>
            <w:noWrap/>
          </w:tcPr>
          <w:p w:rsidR="003A3E9A" w:rsidRPr="007E7D8B" w:rsidRDefault="00687C63" w:rsidP="003A3E9A">
            <w:pPr>
              <w:ind w:hanging="47"/>
              <w:rPr>
                <w:rFonts w:cs="Arial"/>
                <w:sz w:val="18"/>
                <w:szCs w:val="18"/>
                <w:lang w:val="de-DE" w:eastAsia="sk-SK"/>
              </w:rPr>
            </w:pPr>
            <w:r w:rsidRPr="00687C63">
              <w:rPr>
                <w:rFonts w:cs="Arial"/>
                <w:sz w:val="18"/>
                <w:szCs w:val="18"/>
                <w:lang w:val="de-DE" w:eastAsia="sk-SK"/>
              </w:rPr>
              <w:t>Rok Jahr</w:t>
            </w:r>
          </w:p>
        </w:tc>
        <w:tc>
          <w:tcPr>
            <w:tcW w:w="442" w:type="pct"/>
            <w:gridSpan w:val="8"/>
            <w:tcBorders>
              <w:left w:val="nil"/>
              <w:bottom w:val="nil"/>
              <w:right w:val="nil"/>
            </w:tcBorders>
            <w:noWrap/>
          </w:tcPr>
          <w:p w:rsidR="003A3E9A" w:rsidRPr="007E7D8B" w:rsidRDefault="007E7D8B" w:rsidP="007E7D8B">
            <w:pPr>
              <w:rPr>
                <w:rFonts w:cs="Arial"/>
                <w:sz w:val="18"/>
                <w:szCs w:val="18"/>
                <w:lang w:val="de-DE" w:eastAsia="sk-SK"/>
              </w:rPr>
            </w:pPr>
            <w:r>
              <w:rPr>
                <w:rFonts w:cs="Arial"/>
                <w:sz w:val="18"/>
                <w:szCs w:val="18"/>
                <w:lang w:val="de-DE" w:eastAsia="sk-SK"/>
              </w:rPr>
              <w:t xml:space="preserve">      bis</w:t>
            </w:r>
          </w:p>
        </w:tc>
        <w:tc>
          <w:tcPr>
            <w:tcW w:w="490" w:type="pct"/>
            <w:gridSpan w:val="8"/>
            <w:tcBorders>
              <w:left w:val="nil"/>
              <w:right w:val="nil"/>
            </w:tcBorders>
            <w:noWrap/>
          </w:tcPr>
          <w:p w:rsidR="003A3E9A" w:rsidRPr="007E7D8B" w:rsidRDefault="00687C63" w:rsidP="003A3E9A">
            <w:pPr>
              <w:ind w:hanging="52"/>
              <w:rPr>
                <w:rFonts w:cs="Arial"/>
                <w:sz w:val="18"/>
                <w:szCs w:val="18"/>
                <w:lang w:val="de-DE" w:eastAsia="sk-SK"/>
              </w:rPr>
            </w:pPr>
            <w:r w:rsidRPr="00687C63">
              <w:rPr>
                <w:rFonts w:cs="Arial"/>
                <w:sz w:val="18"/>
                <w:szCs w:val="18"/>
                <w:lang w:val="de-DE" w:eastAsia="sk-SK"/>
              </w:rPr>
              <w:t xml:space="preserve"> Monat</w:t>
            </w:r>
          </w:p>
        </w:tc>
        <w:tc>
          <w:tcPr>
            <w:tcW w:w="576" w:type="pct"/>
            <w:gridSpan w:val="11"/>
            <w:tcBorders>
              <w:left w:val="nil"/>
              <w:right w:val="nil"/>
            </w:tcBorders>
            <w:noWrap/>
          </w:tcPr>
          <w:p w:rsidR="003A3E9A" w:rsidRPr="007E7D8B" w:rsidRDefault="00687C63" w:rsidP="003A3E9A">
            <w:pPr>
              <w:ind w:firstLine="109"/>
              <w:rPr>
                <w:rFonts w:cs="Arial"/>
                <w:sz w:val="18"/>
                <w:szCs w:val="18"/>
                <w:lang w:val="de-DE" w:eastAsia="sk-SK"/>
              </w:rPr>
            </w:pPr>
            <w:r w:rsidRPr="00687C63">
              <w:rPr>
                <w:rFonts w:cs="Arial"/>
                <w:sz w:val="18"/>
                <w:szCs w:val="18"/>
                <w:lang w:val="de-DE" w:eastAsia="sk-SK"/>
              </w:rPr>
              <w:t>Jahr</w:t>
            </w:r>
          </w:p>
        </w:tc>
      </w:tr>
      <w:tr w:rsidR="00B75EA7" w:rsidRPr="007E7D8B" w:rsidTr="00AC0D5A">
        <w:trPr>
          <w:trHeight w:val="57"/>
          <w:jc w:val="center"/>
        </w:trPr>
        <w:tc>
          <w:tcPr>
            <w:tcW w:w="1030" w:type="pct"/>
            <w:gridSpan w:val="7"/>
            <w:tcBorders>
              <w:top w:val="nil"/>
              <w:left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xml:space="preserve"> Für den Zeitraum vom</w:t>
            </w:r>
          </w:p>
        </w:tc>
        <w:tc>
          <w:tcPr>
            <w:tcW w:w="130" w:type="pct"/>
            <w:tcBorders>
              <w:top w:val="nil"/>
              <w:left w:val="nil"/>
              <w:right w:val="nil"/>
            </w:tcBorders>
            <w:noWrap/>
          </w:tcPr>
          <w:p w:rsidR="003A3E9A" w:rsidRPr="007E7D8B" w:rsidRDefault="003A3E9A" w:rsidP="003A3E9A">
            <w:pPr>
              <w:rPr>
                <w:rFonts w:cs="Arial"/>
                <w:sz w:val="18"/>
                <w:szCs w:val="18"/>
                <w:lang w:val="de-DE" w:eastAsia="sk-SK"/>
              </w:rPr>
            </w:pPr>
          </w:p>
        </w:tc>
        <w:tc>
          <w:tcPr>
            <w:tcW w:w="112" w:type="pct"/>
            <w:tcBorders>
              <w:top w:val="nil"/>
              <w:left w:val="nil"/>
              <w:right w:val="nil"/>
            </w:tcBorders>
            <w:noWrap/>
          </w:tcPr>
          <w:p w:rsidR="003A3E9A" w:rsidRPr="007E7D8B" w:rsidRDefault="003A3E9A" w:rsidP="003A3E9A">
            <w:pPr>
              <w:rPr>
                <w:rFonts w:cs="Arial"/>
                <w:sz w:val="18"/>
                <w:szCs w:val="18"/>
                <w:lang w:val="de-DE" w:eastAsia="sk-SK"/>
              </w:rPr>
            </w:pPr>
          </w:p>
        </w:tc>
        <w:tc>
          <w:tcPr>
            <w:tcW w:w="168" w:type="pct"/>
            <w:tcBorders>
              <w:top w:val="nil"/>
              <w:left w:val="nil"/>
              <w:right w:val="nil"/>
            </w:tcBorders>
            <w:noWrap/>
          </w:tcPr>
          <w:p w:rsidR="003A3E9A" w:rsidRPr="007E7D8B" w:rsidRDefault="003A3E9A" w:rsidP="003A3E9A">
            <w:pPr>
              <w:rPr>
                <w:rFonts w:cs="Arial"/>
                <w:sz w:val="18"/>
                <w:szCs w:val="18"/>
                <w:lang w:val="de-DE" w:eastAsia="sk-SK"/>
              </w:rPr>
            </w:pPr>
          </w:p>
        </w:tc>
        <w:tc>
          <w:tcPr>
            <w:tcW w:w="149" w:type="pct"/>
            <w:tcBorders>
              <w:top w:val="nil"/>
              <w:left w:val="nil"/>
              <w:right w:val="nil"/>
            </w:tcBorders>
            <w:noWrap/>
          </w:tcPr>
          <w:p w:rsidR="003A3E9A" w:rsidRPr="007E7D8B" w:rsidRDefault="003A3E9A" w:rsidP="003A3E9A">
            <w:pPr>
              <w:rPr>
                <w:rFonts w:cs="Arial"/>
                <w:sz w:val="18"/>
                <w:szCs w:val="18"/>
                <w:lang w:val="de-DE" w:eastAsia="sk-SK"/>
              </w:rPr>
            </w:pPr>
          </w:p>
        </w:tc>
        <w:tc>
          <w:tcPr>
            <w:tcW w:w="132" w:type="pct"/>
            <w:tcBorders>
              <w:top w:val="nil"/>
              <w:left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right w:val="nil"/>
            </w:tcBorders>
            <w:noWrap/>
          </w:tcPr>
          <w:p w:rsidR="003A3E9A" w:rsidRPr="007E7D8B" w:rsidRDefault="003A3E9A" w:rsidP="003A3E9A">
            <w:pPr>
              <w:rPr>
                <w:rFonts w:cs="Arial"/>
                <w:sz w:val="18"/>
                <w:szCs w:val="18"/>
                <w:lang w:val="de-DE" w:eastAsia="sk-SK"/>
              </w:rPr>
            </w:pPr>
          </w:p>
        </w:tc>
        <w:tc>
          <w:tcPr>
            <w:tcW w:w="142" w:type="pct"/>
            <w:tcBorders>
              <w:top w:val="nil"/>
              <w:left w:val="nil"/>
            </w:tcBorders>
            <w:noWrap/>
          </w:tcPr>
          <w:p w:rsidR="003A3E9A" w:rsidRPr="007E7D8B" w:rsidRDefault="003A3E9A" w:rsidP="003A3E9A">
            <w:pPr>
              <w:rPr>
                <w:rFonts w:cs="Arial"/>
                <w:sz w:val="18"/>
                <w:szCs w:val="18"/>
                <w:lang w:val="de-DE" w:eastAsia="sk-SK"/>
              </w:rPr>
            </w:pPr>
          </w:p>
        </w:tc>
        <w:tc>
          <w:tcPr>
            <w:tcW w:w="123" w:type="pct"/>
            <w:noWrap/>
          </w:tcPr>
          <w:p w:rsidR="003A3E9A" w:rsidRPr="007E7D8B" w:rsidRDefault="003A3E9A" w:rsidP="003A3E9A">
            <w:pPr>
              <w:rPr>
                <w:rFonts w:cs="Arial"/>
                <w:sz w:val="18"/>
                <w:szCs w:val="18"/>
                <w:lang w:val="de-DE" w:eastAsia="sk-SK"/>
              </w:rPr>
            </w:pPr>
          </w:p>
        </w:tc>
        <w:tc>
          <w:tcPr>
            <w:tcW w:w="156" w:type="pct"/>
            <w:noWrap/>
          </w:tcPr>
          <w:p w:rsidR="003A3E9A" w:rsidRPr="007E7D8B" w:rsidRDefault="003A3E9A" w:rsidP="003A3E9A">
            <w:pPr>
              <w:rPr>
                <w:rFonts w:cs="Arial"/>
                <w:sz w:val="18"/>
                <w:szCs w:val="18"/>
                <w:lang w:val="de-DE" w:eastAsia="sk-SK"/>
              </w:rPr>
            </w:pPr>
          </w:p>
        </w:tc>
        <w:tc>
          <w:tcPr>
            <w:tcW w:w="125" w:type="pct"/>
            <w:tcBorders>
              <w:top w:val="nil"/>
              <w:left w:val="nil"/>
              <w:right w:val="single" w:sz="6" w:space="0" w:color="auto"/>
            </w:tcBorders>
            <w:noWrap/>
          </w:tcPr>
          <w:p w:rsidR="003A3E9A" w:rsidRPr="007E7D8B" w:rsidRDefault="003A3E9A" w:rsidP="003A3E9A">
            <w:pPr>
              <w:rPr>
                <w:rFonts w:cs="Arial"/>
                <w:sz w:val="18"/>
                <w:szCs w:val="18"/>
                <w:lang w:val="de-DE" w:eastAsia="sk-SK"/>
              </w:rPr>
            </w:pPr>
          </w:p>
        </w:tc>
        <w:tc>
          <w:tcPr>
            <w:tcW w:w="125"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0</w:t>
            </w:r>
          </w:p>
        </w:tc>
        <w:tc>
          <w:tcPr>
            <w:tcW w:w="126"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187" w:type="pct"/>
            <w:gridSpan w:val="2"/>
            <w:tcBorders>
              <w:left w:val="single" w:sz="6" w:space="0" w:color="auto"/>
            </w:tcBorders>
            <w:noWrap/>
          </w:tcPr>
          <w:p w:rsidR="003A3E9A" w:rsidRPr="007E7D8B" w:rsidRDefault="003A3E9A" w:rsidP="003A3E9A">
            <w:pPr>
              <w:jc w:val="center"/>
              <w:rPr>
                <w:rFonts w:cs="Arial"/>
                <w:sz w:val="18"/>
                <w:szCs w:val="18"/>
                <w:lang w:val="de-DE" w:eastAsia="sk-SK"/>
              </w:rPr>
            </w:pPr>
          </w:p>
        </w:tc>
        <w:tc>
          <w:tcPr>
            <w:tcW w:w="114" w:type="pct"/>
            <w:gridSpan w:val="2"/>
            <w:tcBorders>
              <w:right w:val="single" w:sz="6" w:space="0" w:color="auto"/>
            </w:tcBorders>
            <w:noWrap/>
          </w:tcPr>
          <w:p w:rsidR="003A3E9A" w:rsidRPr="007E7D8B" w:rsidRDefault="003A3E9A" w:rsidP="003A3E9A">
            <w:pPr>
              <w:jc w:val="center"/>
              <w:rPr>
                <w:rFonts w:cs="Arial"/>
                <w:sz w:val="18"/>
                <w:szCs w:val="18"/>
                <w:lang w:val="de-DE" w:eastAsia="sk-SK"/>
              </w:rPr>
            </w:pPr>
          </w:p>
        </w:tc>
        <w:tc>
          <w:tcPr>
            <w:tcW w:w="132"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2</w:t>
            </w:r>
          </w:p>
        </w:tc>
        <w:tc>
          <w:tcPr>
            <w:tcW w:w="168"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0</w:t>
            </w:r>
          </w:p>
        </w:tc>
        <w:tc>
          <w:tcPr>
            <w:tcW w:w="176"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159" w:type="pct"/>
            <w:gridSpan w:val="3"/>
            <w:tcBorders>
              <w:top w:val="single" w:sz="6" w:space="0" w:color="auto"/>
              <w:left w:val="single" w:sz="6" w:space="0" w:color="auto"/>
              <w:bottom w:val="single" w:sz="6" w:space="0" w:color="auto"/>
              <w:right w:val="single" w:sz="6" w:space="0" w:color="auto"/>
            </w:tcBorders>
            <w:noWrap/>
          </w:tcPr>
          <w:p w:rsidR="003A3E9A" w:rsidRPr="007E7D8B" w:rsidRDefault="00171D95" w:rsidP="003A3E9A">
            <w:pPr>
              <w:jc w:val="center"/>
              <w:rPr>
                <w:rFonts w:cs="Arial"/>
                <w:sz w:val="18"/>
                <w:szCs w:val="18"/>
                <w:lang w:val="de-DE" w:eastAsia="sk-SK"/>
              </w:rPr>
            </w:pPr>
            <w:r>
              <w:rPr>
                <w:rFonts w:cs="Arial"/>
                <w:sz w:val="18"/>
                <w:szCs w:val="18"/>
                <w:lang w:val="de-DE" w:eastAsia="sk-SK"/>
              </w:rPr>
              <w:t>3</w:t>
            </w:r>
          </w:p>
        </w:tc>
        <w:tc>
          <w:tcPr>
            <w:tcW w:w="351" w:type="pct"/>
            <w:gridSpan w:val="7"/>
            <w:tcBorders>
              <w:left w:val="single" w:sz="6" w:space="0" w:color="auto"/>
              <w:right w:val="single" w:sz="6" w:space="0" w:color="auto"/>
            </w:tcBorders>
            <w:noWrap/>
          </w:tcPr>
          <w:p w:rsidR="003A3E9A" w:rsidRPr="007E7D8B" w:rsidRDefault="007E7D8B" w:rsidP="007E7D8B">
            <w:pPr>
              <w:jc w:val="center"/>
              <w:rPr>
                <w:rFonts w:cs="Arial"/>
                <w:sz w:val="18"/>
                <w:szCs w:val="18"/>
                <w:lang w:val="de-DE" w:eastAsia="sk-SK"/>
              </w:rPr>
            </w:pPr>
            <w:r>
              <w:rPr>
                <w:rFonts w:cs="Arial"/>
                <w:sz w:val="18"/>
                <w:szCs w:val="18"/>
                <w:lang w:val="de-DE" w:eastAsia="sk-SK"/>
              </w:rPr>
              <w:t>zum</w:t>
            </w:r>
          </w:p>
        </w:tc>
        <w:tc>
          <w:tcPr>
            <w:tcW w:w="149"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139"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2</w:t>
            </w:r>
          </w:p>
        </w:tc>
        <w:tc>
          <w:tcPr>
            <w:tcW w:w="133" w:type="pct"/>
            <w:gridSpan w:val="3"/>
            <w:tcBorders>
              <w:left w:val="single" w:sz="6" w:space="0" w:color="auto"/>
            </w:tcBorders>
            <w:noWrap/>
          </w:tcPr>
          <w:p w:rsidR="003A3E9A" w:rsidRPr="007E7D8B" w:rsidRDefault="003A3E9A" w:rsidP="003A3E9A">
            <w:pPr>
              <w:jc w:val="center"/>
              <w:rPr>
                <w:rFonts w:cs="Arial"/>
                <w:sz w:val="18"/>
                <w:szCs w:val="18"/>
                <w:lang w:val="de-DE" w:eastAsia="sk-SK"/>
              </w:rPr>
            </w:pPr>
          </w:p>
        </w:tc>
        <w:tc>
          <w:tcPr>
            <w:tcW w:w="162" w:type="pct"/>
            <w:gridSpan w:val="4"/>
            <w:tcBorders>
              <w:left w:val="nil"/>
              <w:right w:val="single" w:sz="6" w:space="0" w:color="auto"/>
            </w:tcBorders>
            <w:noWrap/>
          </w:tcPr>
          <w:p w:rsidR="003A3E9A" w:rsidRPr="007E7D8B" w:rsidRDefault="003A3E9A" w:rsidP="003A3E9A">
            <w:pPr>
              <w:jc w:val="center"/>
              <w:rPr>
                <w:rFonts w:cs="Arial"/>
                <w:sz w:val="18"/>
                <w:szCs w:val="18"/>
                <w:lang w:val="de-DE" w:eastAsia="sk-SK"/>
              </w:rPr>
            </w:pPr>
          </w:p>
        </w:tc>
        <w:tc>
          <w:tcPr>
            <w:tcW w:w="136"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2</w:t>
            </w:r>
          </w:p>
        </w:tc>
        <w:tc>
          <w:tcPr>
            <w:tcW w:w="129"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0</w:t>
            </w:r>
          </w:p>
        </w:tc>
        <w:tc>
          <w:tcPr>
            <w:tcW w:w="134"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84" w:type="pct"/>
            <w:tcBorders>
              <w:top w:val="single" w:sz="6" w:space="0" w:color="auto"/>
              <w:left w:val="single" w:sz="6" w:space="0" w:color="auto"/>
              <w:bottom w:val="single" w:sz="6" w:space="0" w:color="auto"/>
              <w:right w:val="single" w:sz="6" w:space="0" w:color="auto"/>
            </w:tcBorders>
            <w:noWrap/>
          </w:tcPr>
          <w:p w:rsidR="00687C63" w:rsidRPr="00687C63" w:rsidRDefault="00171D95" w:rsidP="00687C63">
            <w:pPr>
              <w:jc w:val="both"/>
              <w:rPr>
                <w:rFonts w:cs="Arial"/>
                <w:sz w:val="18"/>
                <w:szCs w:val="18"/>
                <w:lang w:val="de-DE" w:eastAsia="sk-SK"/>
              </w:rPr>
            </w:pPr>
            <w:r>
              <w:rPr>
                <w:rFonts w:cs="Arial"/>
                <w:sz w:val="18"/>
                <w:szCs w:val="18"/>
                <w:lang w:val="de-DE" w:eastAsia="sk-SK"/>
              </w:rPr>
              <w:t>3</w:t>
            </w:r>
          </w:p>
        </w:tc>
      </w:tr>
      <w:tr w:rsidR="00585B18" w:rsidRPr="007E7D8B" w:rsidTr="00117EA1">
        <w:trPr>
          <w:trHeight w:val="57"/>
          <w:jc w:val="center"/>
        </w:trPr>
        <w:tc>
          <w:tcPr>
            <w:tcW w:w="1993" w:type="pct"/>
            <w:gridSpan w:val="14"/>
            <w:tcBorders>
              <w:top w:val="nil"/>
              <w:left w:val="nil"/>
            </w:tcBorders>
            <w:noWrap/>
          </w:tcPr>
          <w:p w:rsidR="003A3E9A" w:rsidRPr="007E7D8B" w:rsidRDefault="003A3E9A" w:rsidP="003A3E9A">
            <w:pPr>
              <w:rPr>
                <w:rFonts w:cs="Arial"/>
                <w:sz w:val="18"/>
                <w:szCs w:val="18"/>
                <w:lang w:val="de-DE" w:eastAsia="sk-SK"/>
              </w:rPr>
            </w:pPr>
          </w:p>
          <w:p w:rsidR="003A3E9A" w:rsidRPr="007E7D8B" w:rsidRDefault="003A3E9A" w:rsidP="003A3E9A">
            <w:pPr>
              <w:rPr>
                <w:rFonts w:cs="Arial"/>
                <w:sz w:val="18"/>
                <w:szCs w:val="18"/>
                <w:lang w:val="de-DE" w:eastAsia="sk-SK"/>
              </w:rPr>
            </w:pPr>
          </w:p>
        </w:tc>
        <w:tc>
          <w:tcPr>
            <w:tcW w:w="123" w:type="pct"/>
            <w:tcBorders>
              <w:top w:val="nil"/>
            </w:tcBorders>
            <w:noWrap/>
          </w:tcPr>
          <w:p w:rsidR="003A3E9A" w:rsidRPr="007E7D8B" w:rsidRDefault="003A3E9A" w:rsidP="003A3E9A">
            <w:pPr>
              <w:rPr>
                <w:rFonts w:cs="Arial"/>
                <w:sz w:val="18"/>
                <w:szCs w:val="18"/>
                <w:lang w:val="de-DE" w:eastAsia="sk-SK"/>
              </w:rPr>
            </w:pPr>
          </w:p>
        </w:tc>
        <w:tc>
          <w:tcPr>
            <w:tcW w:w="156" w:type="pct"/>
            <w:tcBorders>
              <w:top w:val="nil"/>
            </w:tcBorders>
            <w:noWrap/>
          </w:tcPr>
          <w:p w:rsidR="003A3E9A" w:rsidRPr="007E7D8B" w:rsidRDefault="003A3E9A" w:rsidP="003A3E9A">
            <w:pPr>
              <w:rPr>
                <w:rFonts w:cs="Arial"/>
                <w:sz w:val="18"/>
                <w:szCs w:val="18"/>
                <w:lang w:val="de-DE" w:eastAsia="sk-SK"/>
              </w:rPr>
            </w:pPr>
          </w:p>
        </w:tc>
        <w:tc>
          <w:tcPr>
            <w:tcW w:w="125" w:type="pct"/>
            <w:tcBorders>
              <w:top w:val="nil"/>
            </w:tcBorders>
            <w:noWrap/>
          </w:tcPr>
          <w:p w:rsidR="003A3E9A" w:rsidRPr="007E7D8B" w:rsidRDefault="003A3E9A" w:rsidP="003A3E9A">
            <w:pPr>
              <w:rPr>
                <w:rFonts w:cs="Arial"/>
                <w:sz w:val="18"/>
                <w:szCs w:val="18"/>
                <w:lang w:val="de-DE" w:eastAsia="sk-SK"/>
              </w:rPr>
            </w:pPr>
          </w:p>
        </w:tc>
        <w:tc>
          <w:tcPr>
            <w:tcW w:w="125" w:type="pct"/>
            <w:gridSpan w:val="2"/>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26" w:type="pct"/>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87" w:type="pct"/>
            <w:gridSpan w:val="2"/>
            <w:tcBorders>
              <w:top w:val="nil"/>
            </w:tcBorders>
            <w:noWrap/>
          </w:tcPr>
          <w:p w:rsidR="003A3E9A" w:rsidRPr="007E7D8B" w:rsidRDefault="003A3E9A" w:rsidP="003A3E9A">
            <w:pPr>
              <w:jc w:val="center"/>
              <w:rPr>
                <w:rFonts w:cs="Arial"/>
                <w:sz w:val="18"/>
                <w:szCs w:val="18"/>
                <w:lang w:val="de-DE" w:eastAsia="sk-SK"/>
              </w:rPr>
            </w:pPr>
          </w:p>
        </w:tc>
        <w:tc>
          <w:tcPr>
            <w:tcW w:w="114" w:type="pct"/>
            <w:gridSpan w:val="2"/>
            <w:tcBorders>
              <w:top w:val="nil"/>
            </w:tcBorders>
            <w:noWrap/>
          </w:tcPr>
          <w:p w:rsidR="003A3E9A" w:rsidRPr="007E7D8B" w:rsidRDefault="003A3E9A" w:rsidP="003A3E9A">
            <w:pPr>
              <w:jc w:val="center"/>
              <w:rPr>
                <w:rFonts w:cs="Arial"/>
                <w:sz w:val="18"/>
                <w:szCs w:val="18"/>
                <w:lang w:val="de-DE" w:eastAsia="sk-SK"/>
              </w:rPr>
            </w:pPr>
          </w:p>
        </w:tc>
        <w:tc>
          <w:tcPr>
            <w:tcW w:w="132" w:type="pct"/>
            <w:gridSpan w:val="2"/>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68" w:type="pct"/>
            <w:gridSpan w:val="3"/>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76" w:type="pct"/>
            <w:gridSpan w:val="3"/>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59" w:type="pct"/>
            <w:gridSpan w:val="3"/>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208" w:type="pct"/>
            <w:gridSpan w:val="5"/>
            <w:tcBorders>
              <w:top w:val="nil"/>
            </w:tcBorders>
            <w:noWrap/>
          </w:tcPr>
          <w:p w:rsidR="003A3E9A" w:rsidRDefault="003A3E9A" w:rsidP="003A3E9A">
            <w:pPr>
              <w:jc w:val="center"/>
              <w:rPr>
                <w:rFonts w:cs="Arial"/>
                <w:sz w:val="18"/>
                <w:szCs w:val="18"/>
                <w:lang w:val="de-DE" w:eastAsia="sk-SK"/>
              </w:rPr>
            </w:pPr>
          </w:p>
          <w:p w:rsidR="00687C63" w:rsidRPr="00687C63" w:rsidRDefault="007E7D8B" w:rsidP="00687C63">
            <w:pPr>
              <w:ind w:right="-135"/>
              <w:jc w:val="center"/>
              <w:rPr>
                <w:rFonts w:cs="Arial"/>
                <w:sz w:val="18"/>
                <w:szCs w:val="18"/>
                <w:lang w:val="de-DE" w:eastAsia="sk-SK"/>
              </w:rPr>
            </w:pPr>
            <w:r>
              <w:rPr>
                <w:rFonts w:cs="Arial"/>
                <w:sz w:val="18"/>
                <w:szCs w:val="18"/>
                <w:lang w:val="de-DE" w:eastAsia="sk-SK"/>
              </w:rPr>
              <w:t xml:space="preserve"> bis</w:t>
            </w:r>
          </w:p>
        </w:tc>
        <w:tc>
          <w:tcPr>
            <w:tcW w:w="143" w:type="pct"/>
            <w:gridSpan w:val="2"/>
            <w:tcBorders>
              <w:top w:val="nil"/>
            </w:tcBorders>
            <w:noWrap/>
          </w:tcPr>
          <w:p w:rsidR="003A3E9A" w:rsidRPr="007E7D8B" w:rsidRDefault="003A3E9A" w:rsidP="003A3E9A">
            <w:pPr>
              <w:jc w:val="center"/>
              <w:rPr>
                <w:rFonts w:cs="Arial"/>
                <w:sz w:val="18"/>
                <w:szCs w:val="18"/>
                <w:lang w:val="de-DE" w:eastAsia="sk-SK"/>
              </w:rPr>
            </w:pPr>
          </w:p>
        </w:tc>
        <w:tc>
          <w:tcPr>
            <w:tcW w:w="149" w:type="pct"/>
            <w:gridSpan w:val="2"/>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39" w:type="pct"/>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33" w:type="pct"/>
            <w:gridSpan w:val="3"/>
            <w:noWrap/>
          </w:tcPr>
          <w:p w:rsidR="003A3E9A" w:rsidRPr="007E7D8B" w:rsidRDefault="003A3E9A" w:rsidP="003A3E9A">
            <w:pPr>
              <w:jc w:val="center"/>
              <w:rPr>
                <w:rFonts w:cs="Arial"/>
                <w:sz w:val="18"/>
                <w:szCs w:val="18"/>
                <w:lang w:val="de-DE" w:eastAsia="sk-SK"/>
              </w:rPr>
            </w:pPr>
          </w:p>
        </w:tc>
        <w:tc>
          <w:tcPr>
            <w:tcW w:w="162" w:type="pct"/>
            <w:gridSpan w:val="4"/>
            <w:noWrap/>
          </w:tcPr>
          <w:p w:rsidR="003A3E9A" w:rsidRPr="007E7D8B" w:rsidRDefault="003A3E9A" w:rsidP="003A3E9A">
            <w:pPr>
              <w:jc w:val="center"/>
              <w:rPr>
                <w:rFonts w:cs="Arial"/>
                <w:sz w:val="18"/>
                <w:szCs w:val="18"/>
                <w:lang w:val="de-DE" w:eastAsia="sk-SK"/>
              </w:rPr>
            </w:pPr>
          </w:p>
        </w:tc>
        <w:tc>
          <w:tcPr>
            <w:tcW w:w="136" w:type="pct"/>
            <w:gridSpan w:val="3"/>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29" w:type="pct"/>
            <w:gridSpan w:val="3"/>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134" w:type="pct"/>
            <w:gridSpan w:val="2"/>
            <w:tcBorders>
              <w:top w:val="nil"/>
              <w:bottom w:val="single" w:sz="6" w:space="0" w:color="auto"/>
            </w:tcBorders>
            <w:noWrap/>
          </w:tcPr>
          <w:p w:rsidR="003A3E9A" w:rsidRPr="007E7D8B" w:rsidRDefault="003A3E9A" w:rsidP="003A3E9A">
            <w:pPr>
              <w:jc w:val="center"/>
              <w:rPr>
                <w:rFonts w:cs="Arial"/>
                <w:sz w:val="18"/>
                <w:szCs w:val="18"/>
                <w:lang w:val="de-DE" w:eastAsia="sk-SK"/>
              </w:rPr>
            </w:pPr>
          </w:p>
        </w:tc>
        <w:tc>
          <w:tcPr>
            <w:tcW w:w="84" w:type="pct"/>
            <w:tcBorders>
              <w:top w:val="nil"/>
              <w:bottom w:val="single" w:sz="6" w:space="0" w:color="auto"/>
              <w:right w:val="nil"/>
            </w:tcBorders>
            <w:noWrap/>
          </w:tcPr>
          <w:p w:rsidR="00687C63" w:rsidRPr="00687C63" w:rsidRDefault="00687C63" w:rsidP="00687C63">
            <w:pPr>
              <w:jc w:val="both"/>
              <w:rPr>
                <w:rFonts w:cs="Arial"/>
                <w:sz w:val="18"/>
                <w:szCs w:val="18"/>
                <w:lang w:val="de-DE" w:eastAsia="sk-SK"/>
              </w:rPr>
            </w:pPr>
          </w:p>
        </w:tc>
      </w:tr>
      <w:tr w:rsidR="00585B18" w:rsidRPr="007E7D8B" w:rsidTr="00117EA1">
        <w:trPr>
          <w:trHeight w:val="57"/>
          <w:jc w:val="center"/>
        </w:trPr>
        <w:tc>
          <w:tcPr>
            <w:tcW w:w="1993" w:type="pct"/>
            <w:gridSpan w:val="14"/>
            <w:tcBorders>
              <w:left w:val="nil"/>
              <w:bottom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Unmittelbere Vorperiode vom</w:t>
            </w:r>
          </w:p>
        </w:tc>
        <w:tc>
          <w:tcPr>
            <w:tcW w:w="123" w:type="pct"/>
            <w:noWrap/>
          </w:tcPr>
          <w:p w:rsidR="003A3E9A" w:rsidRPr="007E7D8B" w:rsidRDefault="003A3E9A" w:rsidP="003A3E9A">
            <w:pPr>
              <w:rPr>
                <w:rFonts w:cs="Arial"/>
                <w:sz w:val="18"/>
                <w:szCs w:val="18"/>
                <w:lang w:val="de-DE" w:eastAsia="sk-SK"/>
              </w:rPr>
            </w:pPr>
          </w:p>
        </w:tc>
        <w:tc>
          <w:tcPr>
            <w:tcW w:w="156" w:type="pct"/>
            <w:noWrap/>
          </w:tcPr>
          <w:p w:rsidR="003A3E9A" w:rsidRPr="007E7D8B" w:rsidRDefault="003A3E9A" w:rsidP="003A3E9A">
            <w:pPr>
              <w:rPr>
                <w:rFonts w:cs="Arial"/>
                <w:sz w:val="18"/>
                <w:szCs w:val="18"/>
                <w:lang w:val="de-DE" w:eastAsia="sk-SK"/>
              </w:rPr>
            </w:pPr>
          </w:p>
        </w:tc>
        <w:tc>
          <w:tcPr>
            <w:tcW w:w="125" w:type="pct"/>
            <w:tcBorders>
              <w:left w:val="nil"/>
              <w:bottom w:val="nil"/>
              <w:right w:val="single" w:sz="6" w:space="0" w:color="auto"/>
            </w:tcBorders>
            <w:noWrap/>
          </w:tcPr>
          <w:p w:rsidR="003A3E9A" w:rsidRPr="007E7D8B" w:rsidRDefault="003A3E9A" w:rsidP="003A3E9A">
            <w:pPr>
              <w:rPr>
                <w:rFonts w:cs="Arial"/>
                <w:sz w:val="18"/>
                <w:szCs w:val="18"/>
                <w:lang w:val="de-DE" w:eastAsia="sk-SK"/>
              </w:rPr>
            </w:pPr>
          </w:p>
        </w:tc>
        <w:tc>
          <w:tcPr>
            <w:tcW w:w="125"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0</w:t>
            </w:r>
          </w:p>
        </w:tc>
        <w:tc>
          <w:tcPr>
            <w:tcW w:w="126"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187" w:type="pct"/>
            <w:gridSpan w:val="2"/>
            <w:tcBorders>
              <w:left w:val="single" w:sz="6" w:space="0" w:color="auto"/>
            </w:tcBorders>
            <w:noWrap/>
          </w:tcPr>
          <w:p w:rsidR="003A3E9A" w:rsidRPr="007E7D8B" w:rsidRDefault="003A3E9A" w:rsidP="003A3E9A">
            <w:pPr>
              <w:jc w:val="center"/>
              <w:rPr>
                <w:rFonts w:cs="Arial"/>
                <w:sz w:val="18"/>
                <w:szCs w:val="18"/>
                <w:lang w:val="de-DE" w:eastAsia="sk-SK"/>
              </w:rPr>
            </w:pPr>
          </w:p>
        </w:tc>
        <w:tc>
          <w:tcPr>
            <w:tcW w:w="114" w:type="pct"/>
            <w:gridSpan w:val="2"/>
            <w:tcBorders>
              <w:right w:val="single" w:sz="6" w:space="0" w:color="auto"/>
            </w:tcBorders>
            <w:noWrap/>
          </w:tcPr>
          <w:p w:rsidR="003A3E9A" w:rsidRPr="007E7D8B" w:rsidRDefault="003A3E9A" w:rsidP="003A3E9A">
            <w:pPr>
              <w:jc w:val="center"/>
              <w:rPr>
                <w:rFonts w:cs="Arial"/>
                <w:sz w:val="18"/>
                <w:szCs w:val="18"/>
                <w:lang w:val="de-DE" w:eastAsia="sk-SK"/>
              </w:rPr>
            </w:pPr>
          </w:p>
        </w:tc>
        <w:tc>
          <w:tcPr>
            <w:tcW w:w="132"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2</w:t>
            </w:r>
          </w:p>
        </w:tc>
        <w:tc>
          <w:tcPr>
            <w:tcW w:w="168"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0</w:t>
            </w:r>
          </w:p>
        </w:tc>
        <w:tc>
          <w:tcPr>
            <w:tcW w:w="176"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159" w:type="pct"/>
            <w:gridSpan w:val="3"/>
            <w:tcBorders>
              <w:top w:val="single" w:sz="6" w:space="0" w:color="auto"/>
              <w:left w:val="single" w:sz="6" w:space="0" w:color="auto"/>
              <w:bottom w:val="single" w:sz="6" w:space="0" w:color="auto"/>
              <w:right w:val="single" w:sz="6" w:space="0" w:color="auto"/>
            </w:tcBorders>
            <w:noWrap/>
          </w:tcPr>
          <w:p w:rsidR="003A3E9A" w:rsidRPr="007E7D8B" w:rsidRDefault="00171D95" w:rsidP="003A3E9A">
            <w:pPr>
              <w:jc w:val="center"/>
              <w:rPr>
                <w:rFonts w:cs="Arial"/>
                <w:sz w:val="18"/>
                <w:szCs w:val="18"/>
                <w:lang w:val="de-DE" w:eastAsia="sk-SK"/>
              </w:rPr>
            </w:pPr>
            <w:r>
              <w:rPr>
                <w:rFonts w:cs="Arial"/>
                <w:sz w:val="18"/>
                <w:szCs w:val="18"/>
                <w:lang w:val="de-DE" w:eastAsia="sk-SK"/>
              </w:rPr>
              <w:t>2</w:t>
            </w:r>
          </w:p>
        </w:tc>
        <w:tc>
          <w:tcPr>
            <w:tcW w:w="351" w:type="pct"/>
            <w:gridSpan w:val="7"/>
            <w:tcBorders>
              <w:left w:val="single" w:sz="6" w:space="0" w:color="auto"/>
              <w:right w:val="single" w:sz="6" w:space="0" w:color="auto"/>
            </w:tcBorders>
            <w:noWrap/>
          </w:tcPr>
          <w:p w:rsidR="003A3E9A" w:rsidRPr="007E7D8B" w:rsidRDefault="00687C63" w:rsidP="007E7D8B">
            <w:pPr>
              <w:jc w:val="center"/>
              <w:rPr>
                <w:rFonts w:cs="Arial"/>
                <w:sz w:val="18"/>
                <w:szCs w:val="18"/>
                <w:lang w:val="de-DE" w:eastAsia="sk-SK"/>
              </w:rPr>
            </w:pPr>
            <w:r w:rsidRPr="00687C63">
              <w:rPr>
                <w:rFonts w:cs="Arial"/>
                <w:sz w:val="18"/>
                <w:szCs w:val="18"/>
                <w:lang w:val="de-DE" w:eastAsia="sk-SK"/>
              </w:rPr>
              <w:t>zum</w:t>
            </w:r>
          </w:p>
        </w:tc>
        <w:tc>
          <w:tcPr>
            <w:tcW w:w="149"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139"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2</w:t>
            </w:r>
          </w:p>
        </w:tc>
        <w:tc>
          <w:tcPr>
            <w:tcW w:w="133" w:type="pct"/>
            <w:gridSpan w:val="3"/>
            <w:tcBorders>
              <w:left w:val="single" w:sz="6" w:space="0" w:color="auto"/>
            </w:tcBorders>
            <w:noWrap/>
          </w:tcPr>
          <w:p w:rsidR="003A3E9A" w:rsidRPr="007E7D8B" w:rsidRDefault="003A3E9A" w:rsidP="003A3E9A">
            <w:pPr>
              <w:jc w:val="center"/>
              <w:rPr>
                <w:rFonts w:cs="Arial"/>
                <w:sz w:val="18"/>
                <w:szCs w:val="18"/>
                <w:lang w:val="de-DE" w:eastAsia="sk-SK"/>
              </w:rPr>
            </w:pPr>
          </w:p>
        </w:tc>
        <w:tc>
          <w:tcPr>
            <w:tcW w:w="162" w:type="pct"/>
            <w:gridSpan w:val="4"/>
            <w:tcBorders>
              <w:left w:val="nil"/>
              <w:right w:val="single" w:sz="6" w:space="0" w:color="auto"/>
            </w:tcBorders>
            <w:noWrap/>
          </w:tcPr>
          <w:p w:rsidR="003A3E9A" w:rsidRPr="007E7D8B" w:rsidRDefault="003A3E9A" w:rsidP="003A3E9A">
            <w:pPr>
              <w:jc w:val="center"/>
              <w:rPr>
                <w:rFonts w:cs="Arial"/>
                <w:sz w:val="18"/>
                <w:szCs w:val="18"/>
                <w:lang w:val="de-DE" w:eastAsia="sk-SK"/>
              </w:rPr>
            </w:pPr>
          </w:p>
        </w:tc>
        <w:tc>
          <w:tcPr>
            <w:tcW w:w="136"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2</w:t>
            </w:r>
          </w:p>
        </w:tc>
        <w:tc>
          <w:tcPr>
            <w:tcW w:w="129" w:type="pct"/>
            <w:gridSpan w:val="3"/>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0</w:t>
            </w:r>
          </w:p>
        </w:tc>
        <w:tc>
          <w:tcPr>
            <w:tcW w:w="134" w:type="pct"/>
            <w:gridSpan w:val="2"/>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jc w:val="center"/>
              <w:rPr>
                <w:rFonts w:cs="Arial"/>
                <w:sz w:val="18"/>
                <w:szCs w:val="18"/>
                <w:lang w:val="de-DE" w:eastAsia="sk-SK"/>
              </w:rPr>
            </w:pPr>
            <w:r w:rsidRPr="00687C63">
              <w:rPr>
                <w:rFonts w:cs="Arial"/>
                <w:sz w:val="18"/>
                <w:szCs w:val="18"/>
                <w:lang w:val="de-DE" w:eastAsia="sk-SK"/>
              </w:rPr>
              <w:t>1</w:t>
            </w:r>
          </w:p>
        </w:tc>
        <w:tc>
          <w:tcPr>
            <w:tcW w:w="84" w:type="pct"/>
            <w:tcBorders>
              <w:top w:val="single" w:sz="6" w:space="0" w:color="auto"/>
              <w:left w:val="single" w:sz="6" w:space="0" w:color="auto"/>
              <w:bottom w:val="single" w:sz="6" w:space="0" w:color="auto"/>
              <w:right w:val="single" w:sz="6" w:space="0" w:color="auto"/>
            </w:tcBorders>
            <w:noWrap/>
          </w:tcPr>
          <w:p w:rsidR="00687C63" w:rsidRPr="00687C63" w:rsidRDefault="00171D95" w:rsidP="00687C63">
            <w:pPr>
              <w:jc w:val="both"/>
              <w:rPr>
                <w:rFonts w:cs="Arial"/>
                <w:sz w:val="18"/>
                <w:szCs w:val="18"/>
                <w:lang w:val="de-DE" w:eastAsia="sk-SK"/>
              </w:rPr>
            </w:pPr>
            <w:r>
              <w:rPr>
                <w:rFonts w:cs="Arial"/>
                <w:sz w:val="18"/>
                <w:szCs w:val="18"/>
                <w:lang w:val="de-DE" w:eastAsia="sk-SK"/>
              </w:rPr>
              <w:t>2</w:t>
            </w:r>
          </w:p>
        </w:tc>
      </w:tr>
      <w:tr w:rsidR="002F0FA2" w:rsidRPr="007E7D8B" w:rsidTr="00AC0D5A">
        <w:trPr>
          <w:trHeight w:val="57"/>
          <w:jc w:val="center"/>
        </w:trPr>
        <w:tc>
          <w:tcPr>
            <w:tcW w:w="768" w:type="pct"/>
            <w:gridSpan w:val="5"/>
            <w:tcBorders>
              <w:top w:val="nil"/>
              <w:left w:val="nil"/>
              <w:bottom w:val="nil"/>
              <w:right w:val="nil"/>
            </w:tcBorders>
            <w:noWrap/>
          </w:tcPr>
          <w:p w:rsidR="003A3E9A" w:rsidRPr="007E7D8B" w:rsidRDefault="003A3E9A" w:rsidP="003A3E9A">
            <w:pPr>
              <w:rPr>
                <w:rFonts w:cs="Arial"/>
                <w:sz w:val="18"/>
                <w:szCs w:val="18"/>
                <w:lang w:val="de-DE" w:eastAsia="sk-SK"/>
              </w:rPr>
            </w:pPr>
          </w:p>
          <w:p w:rsidR="003A3E9A" w:rsidRPr="007E7D8B" w:rsidRDefault="003A3E9A" w:rsidP="003A3E9A">
            <w:pPr>
              <w:rPr>
                <w:rFonts w:cs="Arial"/>
                <w:sz w:val="18"/>
                <w:szCs w:val="18"/>
                <w:lang w:val="de-DE" w:eastAsia="sk-SK"/>
              </w:rPr>
            </w:pPr>
          </w:p>
          <w:p w:rsidR="003A3E9A" w:rsidRPr="007E7D8B" w:rsidRDefault="003A3E9A" w:rsidP="003A3E9A">
            <w:pPr>
              <w:rPr>
                <w:rFonts w:cs="Arial"/>
                <w:sz w:val="18"/>
                <w:szCs w:val="18"/>
                <w:lang w:val="de-DE" w:eastAsia="sk-SK"/>
              </w:rPr>
            </w:pPr>
          </w:p>
        </w:tc>
        <w:tc>
          <w:tcPr>
            <w:tcW w:w="12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8"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3" w:type="pct"/>
            <w:tcBorders>
              <w:left w:val="nil"/>
              <w:bottom w:val="nil"/>
              <w:right w:val="nil"/>
            </w:tcBorders>
            <w:noWrap/>
          </w:tcPr>
          <w:p w:rsidR="003A3E9A" w:rsidRPr="007E7D8B" w:rsidRDefault="003A3E9A" w:rsidP="003A3E9A">
            <w:pPr>
              <w:rPr>
                <w:rFonts w:cs="Arial"/>
                <w:sz w:val="18"/>
                <w:szCs w:val="18"/>
                <w:lang w:val="de-DE" w:eastAsia="sk-SK"/>
              </w:rPr>
            </w:pPr>
          </w:p>
        </w:tc>
        <w:tc>
          <w:tcPr>
            <w:tcW w:w="156" w:type="pct"/>
            <w:tcBorders>
              <w:left w:val="nil"/>
              <w:bottom w:val="nil"/>
              <w:right w:val="nil"/>
            </w:tcBorders>
            <w:noWrap/>
          </w:tcPr>
          <w:p w:rsidR="003A3E9A" w:rsidRPr="007E7D8B" w:rsidRDefault="003A3E9A" w:rsidP="003A3E9A">
            <w:pPr>
              <w:rPr>
                <w:rFonts w:cs="Arial"/>
                <w:sz w:val="18"/>
                <w:szCs w:val="18"/>
                <w:lang w:val="de-DE" w:eastAsia="sk-SK"/>
              </w:rPr>
            </w:pPr>
          </w:p>
        </w:tc>
        <w:tc>
          <w:tcPr>
            <w:tcW w:w="125"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gridSpan w:val="2"/>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c>
          <w:tcPr>
            <w:tcW w:w="187" w:type="pct"/>
            <w:gridSpan w:val="2"/>
            <w:tcBorders>
              <w:left w:val="nil"/>
              <w:bottom w:val="nil"/>
              <w:right w:val="nil"/>
            </w:tcBorders>
            <w:noWrap/>
          </w:tcPr>
          <w:p w:rsidR="003A3E9A" w:rsidRPr="007E7D8B" w:rsidRDefault="003A3E9A" w:rsidP="003A3E9A">
            <w:pPr>
              <w:rPr>
                <w:rFonts w:cs="Arial"/>
                <w:sz w:val="18"/>
                <w:szCs w:val="18"/>
                <w:lang w:val="de-DE" w:eastAsia="sk-SK"/>
              </w:rPr>
            </w:pPr>
          </w:p>
        </w:tc>
        <w:tc>
          <w:tcPr>
            <w:tcW w:w="114" w:type="pct"/>
            <w:gridSpan w:val="2"/>
            <w:tcBorders>
              <w:left w:val="nil"/>
              <w:bottom w:val="nil"/>
              <w:right w:val="nil"/>
            </w:tcBorders>
            <w:noWrap/>
          </w:tcPr>
          <w:p w:rsidR="003A3E9A" w:rsidRPr="007E7D8B" w:rsidRDefault="003A3E9A" w:rsidP="003A3E9A">
            <w:pPr>
              <w:rPr>
                <w:rFonts w:cs="Arial"/>
                <w:sz w:val="18"/>
                <w:szCs w:val="18"/>
                <w:lang w:val="de-DE" w:eastAsia="sk-SK"/>
              </w:rPr>
            </w:pPr>
          </w:p>
        </w:tc>
        <w:tc>
          <w:tcPr>
            <w:tcW w:w="148"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52"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7" w:type="pct"/>
            <w:gridSpan w:val="2"/>
            <w:tcBorders>
              <w:left w:val="nil"/>
              <w:bottom w:val="nil"/>
              <w:right w:val="nil"/>
            </w:tcBorders>
            <w:noWrap/>
          </w:tcPr>
          <w:p w:rsidR="003A3E9A" w:rsidRPr="007E7D8B" w:rsidRDefault="003A3E9A" w:rsidP="003A3E9A">
            <w:pPr>
              <w:rPr>
                <w:rFonts w:cs="Arial"/>
                <w:sz w:val="18"/>
                <w:szCs w:val="18"/>
                <w:lang w:val="de-DE" w:eastAsia="sk-SK"/>
              </w:rPr>
            </w:pPr>
          </w:p>
        </w:tc>
        <w:tc>
          <w:tcPr>
            <w:tcW w:w="127"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26"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73"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43"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gridSpan w:val="2"/>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c>
          <w:tcPr>
            <w:tcW w:w="177"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64"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33" w:type="pct"/>
            <w:gridSpan w:val="3"/>
            <w:tcBorders>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3"/>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c>
          <w:tcPr>
            <w:tcW w:w="91" w:type="pct"/>
            <w:gridSpan w:val="2"/>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single" w:sz="6" w:space="0" w:color="auto"/>
              <w:left w:val="nil"/>
              <w:bottom w:val="nil"/>
              <w:right w:val="nil"/>
            </w:tcBorders>
            <w:noWrap/>
          </w:tcPr>
          <w:p w:rsidR="003A3E9A" w:rsidRPr="007E7D8B" w:rsidRDefault="003A3E9A" w:rsidP="003A3E9A">
            <w:pPr>
              <w:rPr>
                <w:rFonts w:cs="Arial"/>
                <w:sz w:val="18"/>
                <w:szCs w:val="18"/>
                <w:lang w:val="de-DE" w:eastAsia="sk-SK"/>
              </w:rPr>
            </w:pPr>
          </w:p>
        </w:tc>
      </w:tr>
      <w:tr w:rsidR="003A3E9A" w:rsidRPr="007E7D8B" w:rsidTr="00117EA1">
        <w:trPr>
          <w:trHeight w:val="57"/>
          <w:jc w:val="center"/>
        </w:trPr>
        <w:tc>
          <w:tcPr>
            <w:tcW w:w="1993" w:type="pct"/>
            <w:gridSpan w:val="14"/>
            <w:tcBorders>
              <w:top w:val="nil"/>
              <w:left w:val="nil"/>
              <w:bottom w:val="nil"/>
              <w:right w:val="nil"/>
            </w:tcBorders>
            <w:noWrap/>
          </w:tcPr>
          <w:p w:rsidR="00687C63" w:rsidRPr="00687C63" w:rsidRDefault="00687C63" w:rsidP="00687C63">
            <w:pPr>
              <w:ind w:right="-117"/>
              <w:rPr>
                <w:rFonts w:cs="Arial"/>
                <w:sz w:val="18"/>
                <w:szCs w:val="18"/>
                <w:lang w:val="de-DE" w:eastAsia="sk-SK"/>
              </w:rPr>
            </w:pPr>
            <w:r w:rsidRPr="00687C63">
              <w:rPr>
                <w:rFonts w:cs="Arial"/>
                <w:b/>
                <w:bCs/>
                <w:sz w:val="18"/>
                <w:szCs w:val="18"/>
                <w:lang w:val="de-DE" w:eastAsia="sk-SK"/>
              </w:rPr>
              <w:t xml:space="preserve">Datum der Entstehung der </w:t>
            </w:r>
            <w:r w:rsidR="004D4506">
              <w:rPr>
                <w:rFonts w:cs="Arial"/>
                <w:b/>
                <w:bCs/>
                <w:sz w:val="18"/>
                <w:szCs w:val="18"/>
                <w:lang w:val="de-DE" w:eastAsia="sk-SK"/>
              </w:rPr>
              <w:t>B</w:t>
            </w:r>
            <w:r w:rsidRPr="00687C63">
              <w:rPr>
                <w:rFonts w:cs="Arial"/>
                <w:b/>
                <w:bCs/>
                <w:sz w:val="18"/>
                <w:szCs w:val="18"/>
                <w:lang w:val="de-DE" w:eastAsia="sk-SK"/>
              </w:rPr>
              <w:t>uchführungseinheit</w:t>
            </w:r>
          </w:p>
        </w:tc>
        <w:tc>
          <w:tcPr>
            <w:tcW w:w="12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43" w:type="pct"/>
            <w:gridSpan w:val="20"/>
            <w:tcBorders>
              <w:top w:val="nil"/>
              <w:left w:val="nil"/>
              <w:bottom w:val="nil"/>
              <w:right w:val="nil"/>
            </w:tcBorders>
            <w:noWrap/>
          </w:tcPr>
          <w:p w:rsidR="003A3E9A" w:rsidRPr="007E7D8B" w:rsidRDefault="00687C63" w:rsidP="003A3E9A">
            <w:pPr>
              <w:rPr>
                <w:rFonts w:cs="Arial"/>
                <w:sz w:val="18"/>
                <w:szCs w:val="18"/>
                <w:lang w:val="de-DE" w:eastAsia="sk-SK"/>
              </w:rPr>
            </w:pPr>
            <w:r w:rsidRPr="00687C63">
              <w:rPr>
                <w:rFonts w:cs="Arial"/>
                <w:b/>
                <w:bCs/>
                <w:sz w:val="18"/>
                <w:szCs w:val="18"/>
                <w:lang w:val="de-DE" w:eastAsia="sk-SK"/>
              </w:rPr>
              <w:t>Jahresabschluss</w:t>
            </w:r>
          </w:p>
        </w:tc>
        <w:tc>
          <w:tcPr>
            <w:tcW w:w="991" w:type="pct"/>
            <w:gridSpan w:val="18"/>
            <w:tcBorders>
              <w:top w:val="nil"/>
              <w:left w:val="nil"/>
              <w:bottom w:val="nil"/>
              <w:right w:val="nil"/>
            </w:tcBorders>
            <w:noWrap/>
          </w:tcPr>
          <w:p w:rsidR="003A3E9A" w:rsidRPr="007E7D8B" w:rsidRDefault="00687C63" w:rsidP="003A3E9A">
            <w:pPr>
              <w:rPr>
                <w:rFonts w:cs="Arial"/>
                <w:sz w:val="18"/>
                <w:szCs w:val="18"/>
                <w:lang w:val="de-DE" w:eastAsia="sk-SK"/>
              </w:rPr>
            </w:pPr>
            <w:r w:rsidRPr="00687C63">
              <w:rPr>
                <w:rFonts w:cs="Arial"/>
                <w:b/>
                <w:bCs/>
                <w:sz w:val="18"/>
                <w:szCs w:val="18"/>
                <w:lang w:val="de-DE" w:eastAsia="sk-SK"/>
              </w:rPr>
              <w:t xml:space="preserve"> Jahresabschluss</w:t>
            </w: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B75EA7" w:rsidRPr="007E7D8B" w:rsidTr="00AC0D5A">
        <w:trPr>
          <w:trHeight w:val="57"/>
          <w:jc w:val="center"/>
        </w:trPr>
        <w:tc>
          <w:tcPr>
            <w:tcW w:w="160" w:type="pct"/>
            <w:tcBorders>
              <w:top w:val="nil"/>
              <w:left w:val="nil"/>
              <w:bottom w:val="nil"/>
              <w:right w:val="nil"/>
            </w:tcBorders>
            <w:noWrap/>
          </w:tcPr>
          <w:p w:rsidR="003A3E9A" w:rsidRPr="007E7D8B" w:rsidRDefault="003A3E9A" w:rsidP="003A3E9A">
            <w:pPr>
              <w:rPr>
                <w:rFonts w:cs="Arial"/>
                <w:b/>
                <w:bCs/>
                <w:sz w:val="18"/>
                <w:szCs w:val="18"/>
                <w:lang w:val="de-DE" w:eastAsia="sk-SK"/>
              </w:rPr>
            </w:pPr>
          </w:p>
        </w:tc>
        <w:tc>
          <w:tcPr>
            <w:tcW w:w="153" w:type="pct"/>
            <w:tcBorders>
              <w:top w:val="nil"/>
              <w:left w:val="nil"/>
              <w:bottom w:val="nil"/>
              <w:right w:val="nil"/>
            </w:tcBorders>
            <w:noWrap/>
          </w:tcPr>
          <w:p w:rsidR="003A3E9A" w:rsidRPr="007E7D8B" w:rsidRDefault="003A3E9A" w:rsidP="003A3E9A">
            <w:pPr>
              <w:rPr>
                <w:rFonts w:cs="Arial"/>
                <w:b/>
                <w:bCs/>
                <w:sz w:val="18"/>
                <w:szCs w:val="18"/>
                <w:lang w:val="de-DE" w:eastAsia="sk-SK"/>
              </w:rPr>
            </w:pPr>
          </w:p>
        </w:tc>
        <w:tc>
          <w:tcPr>
            <w:tcW w:w="17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8" w:type="pct"/>
            <w:tcBorders>
              <w:top w:val="nil"/>
              <w:left w:val="nil"/>
              <w:bottom w:val="single" w:sz="4" w:space="0" w:color="auto"/>
              <w:right w:val="nil"/>
            </w:tcBorders>
            <w:noWrap/>
          </w:tcPr>
          <w:p w:rsidR="003A3E9A" w:rsidRPr="007E7D8B" w:rsidRDefault="003A3E9A" w:rsidP="003A3E9A">
            <w:pPr>
              <w:rPr>
                <w:rFonts w:cs="Arial"/>
                <w:sz w:val="18"/>
                <w:szCs w:val="18"/>
                <w:lang w:val="de-DE" w:eastAsia="sk-SK"/>
              </w:rPr>
            </w:pPr>
          </w:p>
        </w:tc>
        <w:tc>
          <w:tcPr>
            <w:tcW w:w="14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gridSpan w:val="2"/>
            <w:tcBorders>
              <w:top w:val="nil"/>
              <w:left w:val="nil"/>
              <w:right w:val="nil"/>
            </w:tcBorders>
            <w:noWrap/>
          </w:tcPr>
          <w:p w:rsidR="003A3E9A" w:rsidRPr="007E7D8B" w:rsidRDefault="003A3E9A" w:rsidP="003A3E9A">
            <w:pPr>
              <w:rPr>
                <w:rFonts w:cs="Arial"/>
                <w:sz w:val="18"/>
                <w:szCs w:val="18"/>
                <w:lang w:val="de-DE" w:eastAsia="sk-SK"/>
              </w:rPr>
            </w:pPr>
          </w:p>
        </w:tc>
        <w:tc>
          <w:tcPr>
            <w:tcW w:w="126" w:type="pct"/>
            <w:tcBorders>
              <w:top w:val="nil"/>
              <w:left w:val="nil"/>
              <w:right w:val="nil"/>
            </w:tcBorders>
            <w:noWrap/>
          </w:tcPr>
          <w:p w:rsidR="003A3E9A" w:rsidRPr="007E7D8B" w:rsidRDefault="003A3E9A" w:rsidP="003A3E9A">
            <w:pPr>
              <w:rPr>
                <w:rFonts w:cs="Arial"/>
                <w:sz w:val="18"/>
                <w:szCs w:val="18"/>
                <w:lang w:val="de-DE" w:eastAsia="sk-SK"/>
              </w:rPr>
            </w:pPr>
          </w:p>
        </w:tc>
        <w:tc>
          <w:tcPr>
            <w:tcW w:w="935" w:type="pct"/>
            <w:gridSpan w:val="15"/>
            <w:tcBorders>
              <w:top w:val="nil"/>
              <w:left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w:t>
            </w:r>
          </w:p>
        </w:tc>
        <w:tc>
          <w:tcPr>
            <w:tcW w:w="208" w:type="pct"/>
            <w:gridSpan w:val="5"/>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292" w:type="pct"/>
            <w:gridSpan w:val="4"/>
            <w:tcBorders>
              <w:top w:val="nil"/>
              <w:left w:val="nil"/>
              <w:bottom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w:t>
            </w:r>
          </w:p>
        </w:tc>
        <w:tc>
          <w:tcPr>
            <w:tcW w:w="13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2" w:type="pct"/>
            <w:gridSpan w:val="4"/>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6"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9"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AC0D5A" w:rsidRPr="007E7D8B" w:rsidTr="00AC0D5A">
        <w:trPr>
          <w:trHeight w:val="57"/>
          <w:jc w:val="center"/>
        </w:trPr>
        <w:tc>
          <w:tcPr>
            <w:tcW w:w="160" w:type="pct"/>
            <w:tcBorders>
              <w:top w:val="single" w:sz="4" w:space="0" w:color="auto"/>
              <w:left w:val="single" w:sz="4" w:space="0" w:color="auto"/>
              <w:bottom w:val="single" w:sz="4" w:space="0" w:color="auto"/>
              <w:right w:val="single" w:sz="4" w:space="0" w:color="auto"/>
            </w:tcBorders>
            <w:noWrap/>
          </w:tcPr>
          <w:p w:rsidR="00225988" w:rsidRPr="007E7D8B" w:rsidRDefault="00225988" w:rsidP="003A3E9A">
            <w:pPr>
              <w:jc w:val="center"/>
              <w:rPr>
                <w:rFonts w:cs="Arial"/>
                <w:bCs/>
                <w:sz w:val="18"/>
                <w:szCs w:val="18"/>
                <w:lang w:val="de-DE" w:eastAsia="sk-SK"/>
              </w:rPr>
            </w:pPr>
            <w:r>
              <w:rPr>
                <w:rFonts w:cs="Arial"/>
                <w:bCs/>
                <w:szCs w:val="18"/>
                <w:lang w:eastAsia="sk-SK"/>
              </w:rPr>
              <w:t>0</w:t>
            </w:r>
          </w:p>
        </w:tc>
        <w:tc>
          <w:tcPr>
            <w:tcW w:w="153" w:type="pct"/>
            <w:tcBorders>
              <w:top w:val="single" w:sz="4" w:space="0" w:color="auto"/>
              <w:left w:val="nil"/>
              <w:bottom w:val="single" w:sz="4" w:space="0" w:color="auto"/>
              <w:right w:val="single" w:sz="4" w:space="0" w:color="auto"/>
            </w:tcBorders>
            <w:noWrap/>
          </w:tcPr>
          <w:p w:rsidR="00225988" w:rsidRPr="007E7D8B" w:rsidRDefault="00225988" w:rsidP="003A3E9A">
            <w:pPr>
              <w:jc w:val="center"/>
              <w:rPr>
                <w:rFonts w:cs="Arial"/>
                <w:bCs/>
                <w:sz w:val="18"/>
                <w:szCs w:val="18"/>
                <w:lang w:val="de-DE" w:eastAsia="sk-SK"/>
              </w:rPr>
            </w:pPr>
            <w:r>
              <w:rPr>
                <w:rFonts w:cs="Arial"/>
                <w:bCs/>
                <w:szCs w:val="18"/>
                <w:lang w:eastAsia="sk-SK"/>
              </w:rPr>
              <w:t>3</w:t>
            </w:r>
          </w:p>
        </w:tc>
        <w:tc>
          <w:tcPr>
            <w:tcW w:w="179" w:type="pct"/>
            <w:tcBorders>
              <w:top w:val="nil"/>
              <w:left w:val="nil"/>
              <w:bottom w:val="nil"/>
              <w:right w:val="nil"/>
            </w:tcBorders>
            <w:noWrap/>
          </w:tcPr>
          <w:p w:rsidR="00225988" w:rsidRPr="007E7D8B" w:rsidRDefault="00225988" w:rsidP="003A3E9A">
            <w:pPr>
              <w:jc w:val="center"/>
              <w:rPr>
                <w:rFonts w:cs="Arial"/>
                <w:sz w:val="18"/>
                <w:szCs w:val="18"/>
                <w:lang w:val="de-DE" w:eastAsia="sk-SK"/>
              </w:rPr>
            </w:pPr>
          </w:p>
        </w:tc>
        <w:tc>
          <w:tcPr>
            <w:tcW w:w="126" w:type="pct"/>
            <w:tcBorders>
              <w:top w:val="single" w:sz="4" w:space="0" w:color="auto"/>
              <w:left w:val="single" w:sz="4" w:space="0" w:color="auto"/>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sidRPr="00564EB9">
              <w:rPr>
                <w:rFonts w:cs="Arial"/>
                <w:szCs w:val="18"/>
                <w:lang w:eastAsia="sk-SK"/>
              </w:rPr>
              <w:t>0</w:t>
            </w:r>
          </w:p>
        </w:tc>
        <w:tc>
          <w:tcPr>
            <w:tcW w:w="149" w:type="pct"/>
            <w:tcBorders>
              <w:top w:val="single" w:sz="4" w:space="0" w:color="auto"/>
              <w:left w:val="nil"/>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Pr>
                <w:rFonts w:cs="Arial"/>
                <w:szCs w:val="18"/>
                <w:lang w:eastAsia="sk-SK"/>
              </w:rPr>
              <w:t>7</w:t>
            </w:r>
          </w:p>
        </w:tc>
        <w:tc>
          <w:tcPr>
            <w:tcW w:w="129" w:type="pct"/>
            <w:tcBorders>
              <w:top w:val="nil"/>
              <w:left w:val="nil"/>
              <w:bottom w:val="nil"/>
              <w:right w:val="nil"/>
            </w:tcBorders>
            <w:noWrap/>
          </w:tcPr>
          <w:p w:rsidR="00225988" w:rsidRPr="007E7D8B" w:rsidRDefault="00225988" w:rsidP="003A3E9A">
            <w:pPr>
              <w:jc w:val="center"/>
              <w:rPr>
                <w:rFonts w:cs="Arial"/>
                <w:sz w:val="18"/>
                <w:szCs w:val="18"/>
                <w:lang w:val="de-DE" w:eastAsia="sk-SK"/>
              </w:rPr>
            </w:pPr>
          </w:p>
        </w:tc>
        <w:tc>
          <w:tcPr>
            <w:tcW w:w="133" w:type="pct"/>
            <w:tcBorders>
              <w:top w:val="single" w:sz="4" w:space="0" w:color="auto"/>
              <w:left w:val="single" w:sz="4" w:space="0" w:color="auto"/>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sidRPr="00564EB9">
              <w:rPr>
                <w:rFonts w:cs="Arial"/>
                <w:szCs w:val="18"/>
                <w:lang w:eastAsia="sk-SK"/>
              </w:rPr>
              <w:t>1</w:t>
            </w:r>
          </w:p>
        </w:tc>
        <w:tc>
          <w:tcPr>
            <w:tcW w:w="130" w:type="pct"/>
            <w:tcBorders>
              <w:top w:val="single" w:sz="4" w:space="0" w:color="auto"/>
              <w:left w:val="nil"/>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sidRPr="00564EB9">
              <w:rPr>
                <w:rFonts w:cs="Arial"/>
                <w:szCs w:val="18"/>
                <w:lang w:eastAsia="sk-SK"/>
              </w:rPr>
              <w:t>9</w:t>
            </w:r>
          </w:p>
        </w:tc>
        <w:tc>
          <w:tcPr>
            <w:tcW w:w="112" w:type="pct"/>
            <w:tcBorders>
              <w:top w:val="single" w:sz="4" w:space="0" w:color="auto"/>
              <w:left w:val="nil"/>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sidRPr="00564EB9">
              <w:rPr>
                <w:rFonts w:cs="Arial"/>
                <w:szCs w:val="18"/>
                <w:lang w:eastAsia="sk-SK"/>
              </w:rPr>
              <w:t>9</w:t>
            </w:r>
          </w:p>
        </w:tc>
        <w:tc>
          <w:tcPr>
            <w:tcW w:w="168" w:type="pct"/>
            <w:tcBorders>
              <w:top w:val="single" w:sz="4" w:space="0" w:color="auto"/>
              <w:left w:val="nil"/>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sidRPr="00564EB9">
              <w:rPr>
                <w:rFonts w:cs="Arial"/>
                <w:szCs w:val="18"/>
                <w:lang w:eastAsia="sk-SK"/>
              </w:rPr>
              <w:t>3</w:t>
            </w:r>
          </w:p>
        </w:tc>
        <w:tc>
          <w:tcPr>
            <w:tcW w:w="149" w:type="pct"/>
            <w:tcBorders>
              <w:top w:val="nil"/>
              <w:left w:val="single" w:sz="4" w:space="0" w:color="auto"/>
              <w:bottom w:val="nil"/>
              <w:right w:val="nil"/>
            </w:tcBorders>
            <w:noWrap/>
          </w:tcPr>
          <w:p w:rsidR="00225988" w:rsidRPr="007E7D8B" w:rsidRDefault="00225988" w:rsidP="003A3E9A">
            <w:pPr>
              <w:rPr>
                <w:rFonts w:cs="Arial"/>
                <w:sz w:val="18"/>
                <w:szCs w:val="18"/>
                <w:lang w:val="de-DE" w:eastAsia="sk-SK"/>
              </w:rPr>
            </w:pPr>
          </w:p>
        </w:tc>
        <w:tc>
          <w:tcPr>
            <w:tcW w:w="132" w:type="pct"/>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30" w:type="pct"/>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42" w:type="pct"/>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23" w:type="pct"/>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56" w:type="pct"/>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25" w:type="pct"/>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25" w:type="pct"/>
            <w:gridSpan w:val="2"/>
            <w:tcBorders>
              <w:left w:val="nil"/>
            </w:tcBorders>
            <w:noWrap/>
          </w:tcPr>
          <w:p w:rsidR="00225988" w:rsidRPr="007E7D8B" w:rsidRDefault="00225988" w:rsidP="003A3E9A">
            <w:pPr>
              <w:rPr>
                <w:rFonts w:cs="Arial"/>
                <w:sz w:val="18"/>
                <w:szCs w:val="18"/>
                <w:lang w:val="de-DE" w:eastAsia="sk-SK"/>
              </w:rPr>
            </w:pPr>
          </w:p>
        </w:tc>
        <w:tc>
          <w:tcPr>
            <w:tcW w:w="126" w:type="pct"/>
            <w:tcBorders>
              <w:right w:val="single" w:sz="6" w:space="0" w:color="auto"/>
            </w:tcBorders>
            <w:noWrap/>
          </w:tcPr>
          <w:p w:rsidR="00225988" w:rsidRPr="007E7D8B" w:rsidRDefault="00225988" w:rsidP="003A3E9A">
            <w:pPr>
              <w:rPr>
                <w:rFonts w:cs="Arial"/>
                <w:sz w:val="18"/>
                <w:szCs w:val="18"/>
                <w:lang w:val="de-DE" w:eastAsia="sk-SK"/>
              </w:rPr>
            </w:pPr>
          </w:p>
        </w:tc>
        <w:tc>
          <w:tcPr>
            <w:tcW w:w="187" w:type="pct"/>
            <w:gridSpan w:val="2"/>
            <w:tcBorders>
              <w:top w:val="single" w:sz="6" w:space="0" w:color="auto"/>
              <w:left w:val="single" w:sz="6" w:space="0" w:color="auto"/>
              <w:bottom w:val="single" w:sz="6" w:space="0" w:color="auto"/>
              <w:right w:val="single" w:sz="6" w:space="0" w:color="auto"/>
            </w:tcBorders>
            <w:noWrap/>
          </w:tcPr>
          <w:p w:rsidR="00225988" w:rsidRPr="007E7D8B" w:rsidRDefault="00225988" w:rsidP="003A3E9A">
            <w:pPr>
              <w:jc w:val="center"/>
              <w:rPr>
                <w:rFonts w:cs="Arial"/>
                <w:sz w:val="18"/>
                <w:szCs w:val="18"/>
                <w:lang w:val="de-DE" w:eastAsia="sk-SK"/>
              </w:rPr>
            </w:pPr>
            <w:r w:rsidRPr="00687C63">
              <w:rPr>
                <w:rFonts w:cs="Arial"/>
                <w:sz w:val="18"/>
                <w:szCs w:val="18"/>
                <w:lang w:val="de-DE" w:eastAsia="sk-SK"/>
              </w:rPr>
              <w:t>x</w:t>
            </w:r>
          </w:p>
        </w:tc>
        <w:tc>
          <w:tcPr>
            <w:tcW w:w="748" w:type="pct"/>
            <w:gridSpan w:val="13"/>
            <w:tcBorders>
              <w:left w:val="single" w:sz="6" w:space="0" w:color="auto"/>
            </w:tcBorders>
            <w:noWrap/>
          </w:tcPr>
          <w:p w:rsidR="00225988" w:rsidRPr="007E7D8B" w:rsidRDefault="00225988" w:rsidP="00C564AD">
            <w:pPr>
              <w:rPr>
                <w:rFonts w:cs="Arial"/>
                <w:sz w:val="18"/>
                <w:szCs w:val="18"/>
                <w:lang w:val="de-DE" w:eastAsia="sk-SK"/>
              </w:rPr>
            </w:pPr>
            <w:r w:rsidRPr="00687C63">
              <w:rPr>
                <w:rFonts w:cs="Arial"/>
                <w:sz w:val="18"/>
                <w:szCs w:val="18"/>
                <w:lang w:val="de-DE" w:eastAsia="sk-SK"/>
              </w:rPr>
              <w:t> ordentlicher</w:t>
            </w:r>
          </w:p>
        </w:tc>
        <w:tc>
          <w:tcPr>
            <w:tcW w:w="208" w:type="pct"/>
            <w:gridSpan w:val="5"/>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43" w:type="pct"/>
            <w:gridSpan w:val="2"/>
            <w:tcBorders>
              <w:top w:val="single" w:sz="4" w:space="0" w:color="auto"/>
              <w:left w:val="single" w:sz="4" w:space="0" w:color="auto"/>
              <w:bottom w:val="single" w:sz="4" w:space="0" w:color="auto"/>
              <w:right w:val="single" w:sz="4" w:space="0" w:color="auto"/>
            </w:tcBorders>
            <w:noWrap/>
          </w:tcPr>
          <w:p w:rsidR="00225988" w:rsidRPr="007E7D8B" w:rsidRDefault="00225988" w:rsidP="003A3E9A">
            <w:pPr>
              <w:jc w:val="center"/>
              <w:rPr>
                <w:rFonts w:cs="Arial"/>
                <w:sz w:val="18"/>
                <w:szCs w:val="18"/>
                <w:lang w:val="de-DE" w:eastAsia="sk-SK"/>
              </w:rPr>
            </w:pPr>
            <w:r w:rsidRPr="00687C63">
              <w:rPr>
                <w:rFonts w:cs="Arial"/>
                <w:sz w:val="18"/>
                <w:szCs w:val="18"/>
                <w:lang w:val="de-DE" w:eastAsia="sk-SK"/>
              </w:rPr>
              <w:t>x</w:t>
            </w:r>
          </w:p>
        </w:tc>
        <w:tc>
          <w:tcPr>
            <w:tcW w:w="720" w:type="pct"/>
            <w:gridSpan w:val="13"/>
            <w:tcBorders>
              <w:top w:val="nil"/>
              <w:left w:val="nil"/>
              <w:bottom w:val="nil"/>
              <w:right w:val="nil"/>
            </w:tcBorders>
            <w:noWrap/>
          </w:tcPr>
          <w:p w:rsidR="00225988" w:rsidRPr="007E7D8B" w:rsidRDefault="00225988" w:rsidP="00324EC5">
            <w:pPr>
              <w:rPr>
                <w:rFonts w:cs="Arial"/>
                <w:sz w:val="18"/>
                <w:szCs w:val="18"/>
                <w:lang w:val="de-DE" w:eastAsia="sk-SK"/>
              </w:rPr>
            </w:pPr>
            <w:r w:rsidRPr="00687C63">
              <w:rPr>
                <w:rFonts w:cs="Arial"/>
                <w:sz w:val="18"/>
                <w:szCs w:val="18"/>
                <w:lang w:val="de-DE" w:eastAsia="sk-SK"/>
              </w:rPr>
              <w:t xml:space="preserve"> –  erstellt</w:t>
            </w:r>
          </w:p>
        </w:tc>
        <w:tc>
          <w:tcPr>
            <w:tcW w:w="129" w:type="pct"/>
            <w:gridSpan w:val="3"/>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134" w:type="pct"/>
            <w:gridSpan w:val="2"/>
            <w:tcBorders>
              <w:top w:val="nil"/>
              <w:left w:val="nil"/>
              <w:bottom w:val="nil"/>
              <w:right w:val="nil"/>
            </w:tcBorders>
            <w:noWrap/>
          </w:tcPr>
          <w:p w:rsidR="00225988" w:rsidRPr="007E7D8B" w:rsidRDefault="00225988" w:rsidP="003A3E9A">
            <w:pPr>
              <w:rPr>
                <w:rFonts w:cs="Arial"/>
                <w:sz w:val="18"/>
                <w:szCs w:val="18"/>
                <w:lang w:val="de-DE" w:eastAsia="sk-SK"/>
              </w:rPr>
            </w:pPr>
          </w:p>
        </w:tc>
        <w:tc>
          <w:tcPr>
            <w:tcW w:w="84" w:type="pct"/>
            <w:tcBorders>
              <w:top w:val="nil"/>
              <w:left w:val="nil"/>
              <w:bottom w:val="nil"/>
              <w:right w:val="nil"/>
            </w:tcBorders>
            <w:noWrap/>
          </w:tcPr>
          <w:p w:rsidR="00225988" w:rsidRPr="007E7D8B" w:rsidRDefault="00225988" w:rsidP="003A3E9A">
            <w:pPr>
              <w:rPr>
                <w:rFonts w:cs="Arial"/>
                <w:sz w:val="18"/>
                <w:szCs w:val="18"/>
                <w:lang w:val="de-DE" w:eastAsia="sk-SK"/>
              </w:rPr>
            </w:pPr>
          </w:p>
        </w:tc>
      </w:tr>
      <w:tr w:rsidR="003A3E9A" w:rsidRPr="007E7D8B" w:rsidTr="00AC0D5A">
        <w:trPr>
          <w:trHeight w:val="57"/>
          <w:jc w:val="center"/>
        </w:trPr>
        <w:tc>
          <w:tcPr>
            <w:tcW w:w="160" w:type="pct"/>
            <w:tcBorders>
              <w:top w:val="nil"/>
              <w:left w:val="nil"/>
              <w:bottom w:val="nil"/>
              <w:right w:val="nil"/>
            </w:tcBorders>
            <w:noWrap/>
          </w:tcPr>
          <w:p w:rsidR="003A3E9A" w:rsidRPr="007E7D8B" w:rsidRDefault="003A3E9A" w:rsidP="003A3E9A">
            <w:pPr>
              <w:rPr>
                <w:rFonts w:cs="Arial"/>
                <w:b/>
                <w:bCs/>
                <w:sz w:val="18"/>
                <w:szCs w:val="18"/>
                <w:lang w:val="de-DE" w:eastAsia="sk-SK"/>
              </w:rPr>
            </w:pPr>
          </w:p>
        </w:tc>
        <w:tc>
          <w:tcPr>
            <w:tcW w:w="2111" w:type="pct"/>
            <w:gridSpan w:val="15"/>
            <w:tcBorders>
              <w:top w:val="nil"/>
              <w:left w:val="nil"/>
              <w:bottom w:val="nil"/>
              <w:right w:val="nil"/>
            </w:tcBorders>
            <w:noWrap/>
          </w:tcPr>
          <w:p w:rsidR="003A3E9A" w:rsidRPr="007E7D8B" w:rsidRDefault="003A3E9A" w:rsidP="003A3E9A">
            <w:pPr>
              <w:rPr>
                <w:rFonts w:cs="Arial"/>
                <w:b/>
                <w:bCs/>
                <w:sz w:val="18"/>
                <w:szCs w:val="18"/>
                <w:lang w:val="de-DE" w:eastAsia="sk-SK"/>
              </w:rPr>
            </w:pPr>
          </w:p>
        </w:tc>
        <w:tc>
          <w:tcPr>
            <w:tcW w:w="125"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gridSpan w:val="2"/>
            <w:tcBorders>
              <w:left w:val="nil"/>
            </w:tcBorders>
            <w:noWrap/>
          </w:tcPr>
          <w:p w:rsidR="003A3E9A" w:rsidRPr="007E7D8B" w:rsidRDefault="003A3E9A" w:rsidP="003A3E9A">
            <w:pPr>
              <w:rPr>
                <w:rFonts w:cs="Arial"/>
                <w:sz w:val="18"/>
                <w:szCs w:val="18"/>
                <w:lang w:val="de-DE" w:eastAsia="sk-SK"/>
              </w:rPr>
            </w:pPr>
          </w:p>
        </w:tc>
        <w:tc>
          <w:tcPr>
            <w:tcW w:w="126" w:type="pct"/>
            <w:tcBorders>
              <w:right w:val="single" w:sz="6" w:space="0" w:color="auto"/>
            </w:tcBorders>
            <w:noWrap/>
          </w:tcPr>
          <w:p w:rsidR="003A3E9A" w:rsidRPr="007E7D8B" w:rsidRDefault="003A3E9A" w:rsidP="003A3E9A">
            <w:pPr>
              <w:rPr>
                <w:rFonts w:cs="Arial"/>
                <w:sz w:val="18"/>
                <w:szCs w:val="18"/>
                <w:lang w:val="de-DE" w:eastAsia="sk-SK"/>
              </w:rPr>
            </w:pPr>
          </w:p>
        </w:tc>
        <w:tc>
          <w:tcPr>
            <w:tcW w:w="187" w:type="pct"/>
            <w:gridSpan w:val="2"/>
            <w:tcBorders>
              <w:top w:val="single" w:sz="6" w:space="0" w:color="auto"/>
              <w:left w:val="single" w:sz="6" w:space="0" w:color="auto"/>
              <w:bottom w:val="single" w:sz="4" w:space="0" w:color="auto"/>
              <w:right w:val="single" w:sz="6" w:space="0" w:color="auto"/>
            </w:tcBorders>
            <w:noWrap/>
          </w:tcPr>
          <w:p w:rsidR="003A3E9A" w:rsidRPr="007E7D8B" w:rsidRDefault="003A3E9A" w:rsidP="003A3E9A">
            <w:pPr>
              <w:jc w:val="center"/>
              <w:rPr>
                <w:rFonts w:cs="Arial"/>
                <w:sz w:val="18"/>
                <w:szCs w:val="18"/>
                <w:lang w:val="de-DE" w:eastAsia="sk-SK"/>
              </w:rPr>
            </w:pPr>
          </w:p>
        </w:tc>
        <w:tc>
          <w:tcPr>
            <w:tcW w:w="748" w:type="pct"/>
            <w:gridSpan w:val="13"/>
            <w:tcBorders>
              <w:left w:val="single" w:sz="6" w:space="0" w:color="auto"/>
            </w:tcBorders>
            <w:noWrap/>
          </w:tcPr>
          <w:p w:rsidR="003A3E9A" w:rsidRPr="007E7D8B" w:rsidRDefault="00687C63" w:rsidP="00324EC5">
            <w:pPr>
              <w:rPr>
                <w:rFonts w:cs="Arial"/>
                <w:sz w:val="18"/>
                <w:szCs w:val="18"/>
                <w:lang w:val="de-DE" w:eastAsia="sk-SK"/>
              </w:rPr>
            </w:pPr>
            <w:r w:rsidRPr="00687C63">
              <w:rPr>
                <w:rFonts w:cs="Arial"/>
                <w:sz w:val="18"/>
                <w:szCs w:val="18"/>
                <w:lang w:val="de-DE" w:eastAsia="sk-SK"/>
              </w:rPr>
              <w:t>außerordentlicher</w:t>
            </w:r>
          </w:p>
        </w:tc>
        <w:tc>
          <w:tcPr>
            <w:tcW w:w="208" w:type="pct"/>
            <w:gridSpan w:val="5"/>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3" w:type="pct"/>
            <w:gridSpan w:val="2"/>
            <w:tcBorders>
              <w:top w:val="single" w:sz="4" w:space="0" w:color="auto"/>
              <w:left w:val="single" w:sz="4" w:space="0" w:color="auto"/>
              <w:bottom w:val="single" w:sz="4" w:space="0" w:color="auto"/>
              <w:right w:val="single" w:sz="4" w:space="0" w:color="auto"/>
            </w:tcBorders>
            <w:noWrap/>
          </w:tcPr>
          <w:p w:rsidR="003A3E9A" w:rsidRPr="007E7D8B" w:rsidRDefault="003A3E9A" w:rsidP="003A3E9A">
            <w:pPr>
              <w:jc w:val="center"/>
              <w:rPr>
                <w:rFonts w:cs="Arial"/>
                <w:sz w:val="18"/>
                <w:szCs w:val="18"/>
                <w:lang w:val="de-DE" w:eastAsia="sk-SK"/>
              </w:rPr>
            </w:pPr>
          </w:p>
        </w:tc>
        <w:tc>
          <w:tcPr>
            <w:tcW w:w="720" w:type="pct"/>
            <w:gridSpan w:val="13"/>
            <w:tcBorders>
              <w:top w:val="nil"/>
              <w:left w:val="single" w:sz="4" w:space="0" w:color="auto"/>
              <w:right w:val="nil"/>
            </w:tcBorders>
            <w:noWrap/>
          </w:tcPr>
          <w:p w:rsidR="003A3E9A" w:rsidRPr="007E7D8B" w:rsidRDefault="00687C63" w:rsidP="00324EC5">
            <w:pPr>
              <w:rPr>
                <w:rFonts w:cs="Arial"/>
                <w:sz w:val="18"/>
                <w:szCs w:val="18"/>
                <w:lang w:val="de-DE" w:eastAsia="sk-SK"/>
              </w:rPr>
            </w:pPr>
            <w:r w:rsidRPr="00687C63">
              <w:rPr>
                <w:rFonts w:cs="Arial"/>
                <w:sz w:val="18"/>
                <w:szCs w:val="18"/>
                <w:lang w:val="de-DE" w:eastAsia="sk-SK"/>
              </w:rPr>
              <w:t xml:space="preserve"> –  festgestellt</w:t>
            </w:r>
          </w:p>
        </w:tc>
        <w:tc>
          <w:tcPr>
            <w:tcW w:w="129"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3A3E9A" w:rsidRPr="007E7D8B" w:rsidTr="00AC0D5A">
        <w:trPr>
          <w:trHeight w:val="57"/>
          <w:jc w:val="center"/>
        </w:trPr>
        <w:tc>
          <w:tcPr>
            <w:tcW w:w="160" w:type="pct"/>
            <w:tcBorders>
              <w:top w:val="nil"/>
              <w:left w:val="nil"/>
              <w:right w:val="nil"/>
            </w:tcBorders>
            <w:noWrap/>
          </w:tcPr>
          <w:p w:rsidR="003A3E9A" w:rsidRPr="007E7D8B" w:rsidRDefault="003A3E9A" w:rsidP="003A3E9A">
            <w:pPr>
              <w:rPr>
                <w:rFonts w:cs="Arial"/>
                <w:b/>
                <w:bCs/>
                <w:sz w:val="18"/>
                <w:szCs w:val="18"/>
                <w:lang w:val="de-DE" w:eastAsia="sk-SK"/>
              </w:rPr>
            </w:pPr>
          </w:p>
        </w:tc>
        <w:tc>
          <w:tcPr>
            <w:tcW w:w="2111" w:type="pct"/>
            <w:gridSpan w:val="15"/>
            <w:tcBorders>
              <w:top w:val="nil"/>
              <w:left w:val="nil"/>
              <w:right w:val="nil"/>
            </w:tcBorders>
            <w:noWrap/>
          </w:tcPr>
          <w:p w:rsidR="003A3E9A" w:rsidRPr="007E7D8B" w:rsidRDefault="003A3E9A" w:rsidP="003A3E9A">
            <w:pPr>
              <w:rPr>
                <w:rFonts w:cs="Arial"/>
                <w:b/>
                <w:bCs/>
                <w:sz w:val="18"/>
                <w:szCs w:val="18"/>
                <w:lang w:val="de-DE" w:eastAsia="sk-SK"/>
              </w:rPr>
            </w:pPr>
          </w:p>
        </w:tc>
        <w:tc>
          <w:tcPr>
            <w:tcW w:w="125" w:type="pct"/>
            <w:tcBorders>
              <w:top w:val="nil"/>
              <w:left w:val="nil"/>
              <w:right w:val="nil"/>
            </w:tcBorders>
            <w:noWrap/>
          </w:tcPr>
          <w:p w:rsidR="003A3E9A" w:rsidRPr="007E7D8B" w:rsidRDefault="003A3E9A" w:rsidP="003A3E9A">
            <w:pPr>
              <w:rPr>
                <w:rFonts w:cs="Arial"/>
                <w:sz w:val="18"/>
                <w:szCs w:val="18"/>
                <w:lang w:val="de-DE" w:eastAsia="sk-SK"/>
              </w:rPr>
            </w:pPr>
          </w:p>
        </w:tc>
        <w:tc>
          <w:tcPr>
            <w:tcW w:w="125" w:type="pct"/>
            <w:gridSpan w:val="2"/>
            <w:tcBorders>
              <w:left w:val="nil"/>
            </w:tcBorders>
            <w:noWrap/>
          </w:tcPr>
          <w:p w:rsidR="003A3E9A" w:rsidRPr="007E7D8B" w:rsidRDefault="003A3E9A" w:rsidP="003A3E9A">
            <w:pPr>
              <w:rPr>
                <w:rFonts w:cs="Arial"/>
                <w:sz w:val="18"/>
                <w:szCs w:val="18"/>
                <w:lang w:val="de-DE" w:eastAsia="sk-SK"/>
              </w:rPr>
            </w:pPr>
          </w:p>
        </w:tc>
        <w:tc>
          <w:tcPr>
            <w:tcW w:w="126" w:type="pct"/>
            <w:tcBorders>
              <w:right w:val="single" w:sz="4" w:space="0" w:color="auto"/>
            </w:tcBorders>
            <w:noWrap/>
          </w:tcPr>
          <w:p w:rsidR="003A3E9A" w:rsidRPr="007E7D8B" w:rsidRDefault="003A3E9A" w:rsidP="003A3E9A">
            <w:pPr>
              <w:rPr>
                <w:rFonts w:cs="Arial"/>
                <w:sz w:val="18"/>
                <w:szCs w:val="18"/>
                <w:lang w:val="de-DE" w:eastAsia="sk-SK"/>
              </w:rPr>
            </w:pPr>
          </w:p>
        </w:tc>
        <w:tc>
          <w:tcPr>
            <w:tcW w:w="187" w:type="pct"/>
            <w:gridSpan w:val="2"/>
            <w:tcBorders>
              <w:top w:val="single" w:sz="4" w:space="0" w:color="auto"/>
              <w:left w:val="single" w:sz="4" w:space="0" w:color="auto"/>
              <w:bottom w:val="single" w:sz="4" w:space="0" w:color="auto"/>
              <w:right w:val="single" w:sz="4" w:space="0" w:color="auto"/>
            </w:tcBorders>
            <w:noWrap/>
          </w:tcPr>
          <w:p w:rsidR="003A3E9A" w:rsidRPr="007E7D8B" w:rsidRDefault="003A3E9A" w:rsidP="003A3E9A">
            <w:pPr>
              <w:jc w:val="center"/>
              <w:rPr>
                <w:rFonts w:cs="Arial"/>
                <w:sz w:val="18"/>
                <w:szCs w:val="18"/>
                <w:lang w:val="de-DE" w:eastAsia="sk-SK"/>
              </w:rPr>
            </w:pPr>
          </w:p>
        </w:tc>
        <w:tc>
          <w:tcPr>
            <w:tcW w:w="748" w:type="pct"/>
            <w:gridSpan w:val="13"/>
            <w:tcBorders>
              <w:left w:val="single" w:sz="4" w:space="0" w:color="auto"/>
            </w:tcBorders>
            <w:noWrap/>
          </w:tcPr>
          <w:p w:rsidR="00687C63" w:rsidRPr="00687C63" w:rsidRDefault="00687C63" w:rsidP="00687C63">
            <w:pPr>
              <w:ind w:right="-208"/>
              <w:rPr>
                <w:rFonts w:cs="Arial"/>
                <w:sz w:val="18"/>
                <w:szCs w:val="18"/>
                <w:lang w:val="de-DE" w:eastAsia="sk-SK"/>
              </w:rPr>
            </w:pPr>
            <w:r w:rsidRPr="00687C63">
              <w:rPr>
                <w:rFonts w:cs="Arial"/>
                <w:sz w:val="18"/>
                <w:szCs w:val="18"/>
                <w:lang w:val="de-DE" w:eastAsia="sk-SK"/>
              </w:rPr>
              <w:t>Zwischenabschl</w:t>
            </w:r>
            <w:r w:rsidR="00C564AD">
              <w:rPr>
                <w:rFonts w:cs="Arial"/>
                <w:sz w:val="18"/>
                <w:szCs w:val="18"/>
                <w:lang w:val="de-DE" w:eastAsia="sk-SK"/>
              </w:rPr>
              <w:t>.</w:t>
            </w:r>
          </w:p>
        </w:tc>
        <w:tc>
          <w:tcPr>
            <w:tcW w:w="208" w:type="pct"/>
            <w:gridSpan w:val="5"/>
            <w:tcBorders>
              <w:top w:val="nil"/>
              <w:left w:val="nil"/>
            </w:tcBorders>
            <w:noWrap/>
          </w:tcPr>
          <w:p w:rsidR="003A3E9A" w:rsidRPr="007E7D8B" w:rsidRDefault="003A3E9A" w:rsidP="003A3E9A">
            <w:pPr>
              <w:rPr>
                <w:rFonts w:cs="Arial"/>
                <w:sz w:val="18"/>
                <w:szCs w:val="18"/>
                <w:lang w:val="de-DE" w:eastAsia="sk-SK"/>
              </w:rPr>
            </w:pPr>
          </w:p>
        </w:tc>
        <w:tc>
          <w:tcPr>
            <w:tcW w:w="143" w:type="pct"/>
            <w:gridSpan w:val="2"/>
            <w:tcBorders>
              <w:top w:val="nil"/>
            </w:tcBorders>
            <w:noWrap/>
          </w:tcPr>
          <w:p w:rsidR="003A3E9A" w:rsidRPr="007E7D8B" w:rsidRDefault="003A3E9A" w:rsidP="003A3E9A">
            <w:pPr>
              <w:rPr>
                <w:rFonts w:cs="Arial"/>
                <w:sz w:val="18"/>
                <w:szCs w:val="18"/>
                <w:lang w:val="de-DE" w:eastAsia="sk-SK"/>
              </w:rPr>
            </w:pPr>
          </w:p>
        </w:tc>
        <w:tc>
          <w:tcPr>
            <w:tcW w:w="720" w:type="pct"/>
            <w:gridSpan w:val="13"/>
            <w:tcBorders>
              <w:top w:val="nil"/>
              <w:right w:val="nil"/>
            </w:tcBorders>
            <w:noWrap/>
          </w:tcPr>
          <w:p w:rsidR="003A3E9A" w:rsidRPr="007E7D8B" w:rsidRDefault="003A3E9A" w:rsidP="003A3E9A">
            <w:pPr>
              <w:rPr>
                <w:rFonts w:cs="Arial"/>
                <w:sz w:val="18"/>
                <w:szCs w:val="18"/>
                <w:lang w:val="de-DE" w:eastAsia="sk-SK"/>
              </w:rPr>
            </w:pPr>
          </w:p>
        </w:tc>
        <w:tc>
          <w:tcPr>
            <w:tcW w:w="129" w:type="pct"/>
            <w:gridSpan w:val="3"/>
            <w:tcBorders>
              <w:top w:val="nil"/>
              <w:left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right w:val="nil"/>
            </w:tcBorders>
            <w:noWrap/>
          </w:tcPr>
          <w:p w:rsidR="003A3E9A" w:rsidRPr="007E7D8B" w:rsidRDefault="003A3E9A" w:rsidP="003A3E9A">
            <w:pPr>
              <w:rPr>
                <w:rFonts w:cs="Arial"/>
                <w:sz w:val="18"/>
                <w:szCs w:val="18"/>
                <w:lang w:val="de-DE" w:eastAsia="sk-SK"/>
              </w:rPr>
            </w:pPr>
          </w:p>
        </w:tc>
      </w:tr>
      <w:tr w:rsidR="003A3E9A" w:rsidRPr="007E7D8B" w:rsidTr="00AC0D5A">
        <w:trPr>
          <w:trHeight w:val="57"/>
          <w:jc w:val="center"/>
        </w:trPr>
        <w:tc>
          <w:tcPr>
            <w:tcW w:w="160" w:type="pct"/>
            <w:tcBorders>
              <w:left w:val="nil"/>
            </w:tcBorders>
            <w:noWrap/>
          </w:tcPr>
          <w:p w:rsidR="003A3E9A" w:rsidRPr="007E7D8B" w:rsidRDefault="003A3E9A" w:rsidP="003A3E9A">
            <w:pPr>
              <w:rPr>
                <w:rFonts w:cs="Arial"/>
                <w:b/>
                <w:bCs/>
                <w:sz w:val="18"/>
                <w:szCs w:val="18"/>
                <w:lang w:val="de-DE" w:eastAsia="sk-SK"/>
              </w:rPr>
            </w:pPr>
          </w:p>
          <w:p w:rsidR="003A3E9A" w:rsidRPr="007E7D8B" w:rsidRDefault="003A3E9A" w:rsidP="003A3E9A">
            <w:pPr>
              <w:rPr>
                <w:rFonts w:cs="Arial"/>
                <w:b/>
                <w:bCs/>
                <w:sz w:val="18"/>
                <w:szCs w:val="18"/>
                <w:lang w:val="de-DE" w:eastAsia="sk-SK"/>
              </w:rPr>
            </w:pPr>
          </w:p>
        </w:tc>
        <w:tc>
          <w:tcPr>
            <w:tcW w:w="2111" w:type="pct"/>
            <w:gridSpan w:val="15"/>
            <w:noWrap/>
          </w:tcPr>
          <w:p w:rsidR="003A3E9A" w:rsidRPr="007E7D8B" w:rsidRDefault="003A3E9A" w:rsidP="003A3E9A">
            <w:pPr>
              <w:rPr>
                <w:rFonts w:cs="Arial"/>
                <w:b/>
                <w:bCs/>
                <w:sz w:val="18"/>
                <w:szCs w:val="18"/>
                <w:lang w:val="de-DE" w:eastAsia="sk-SK"/>
              </w:rPr>
            </w:pPr>
          </w:p>
        </w:tc>
        <w:tc>
          <w:tcPr>
            <w:tcW w:w="125" w:type="pct"/>
            <w:noWrap/>
          </w:tcPr>
          <w:p w:rsidR="003A3E9A" w:rsidRPr="007E7D8B" w:rsidRDefault="003A3E9A" w:rsidP="003A3E9A">
            <w:pPr>
              <w:rPr>
                <w:rFonts w:cs="Arial"/>
                <w:sz w:val="18"/>
                <w:szCs w:val="18"/>
                <w:lang w:val="de-DE" w:eastAsia="sk-SK"/>
              </w:rPr>
            </w:pPr>
          </w:p>
        </w:tc>
        <w:tc>
          <w:tcPr>
            <w:tcW w:w="125" w:type="pct"/>
            <w:gridSpan w:val="2"/>
            <w:noWrap/>
          </w:tcPr>
          <w:p w:rsidR="003A3E9A" w:rsidRPr="007E7D8B" w:rsidRDefault="003A3E9A" w:rsidP="003A3E9A">
            <w:pPr>
              <w:rPr>
                <w:rFonts w:cs="Arial"/>
                <w:sz w:val="18"/>
                <w:szCs w:val="18"/>
                <w:lang w:val="de-DE" w:eastAsia="sk-SK"/>
              </w:rPr>
            </w:pPr>
          </w:p>
        </w:tc>
        <w:tc>
          <w:tcPr>
            <w:tcW w:w="126" w:type="pct"/>
            <w:noWrap/>
          </w:tcPr>
          <w:p w:rsidR="003A3E9A" w:rsidRPr="007E7D8B" w:rsidRDefault="003A3E9A" w:rsidP="003A3E9A">
            <w:pPr>
              <w:rPr>
                <w:rFonts w:cs="Arial"/>
                <w:sz w:val="18"/>
                <w:szCs w:val="18"/>
                <w:lang w:val="de-DE" w:eastAsia="sk-SK"/>
              </w:rPr>
            </w:pPr>
          </w:p>
        </w:tc>
        <w:tc>
          <w:tcPr>
            <w:tcW w:w="187" w:type="pct"/>
            <w:gridSpan w:val="2"/>
            <w:tcBorders>
              <w:top w:val="single" w:sz="4" w:space="0" w:color="auto"/>
            </w:tcBorders>
            <w:noWrap/>
          </w:tcPr>
          <w:p w:rsidR="003A3E9A" w:rsidRPr="007E7D8B" w:rsidRDefault="003A3E9A" w:rsidP="003A3E9A">
            <w:pPr>
              <w:rPr>
                <w:rFonts w:cs="Arial"/>
                <w:sz w:val="18"/>
                <w:szCs w:val="18"/>
                <w:lang w:val="de-DE" w:eastAsia="sk-SK"/>
              </w:rPr>
            </w:pPr>
          </w:p>
        </w:tc>
        <w:tc>
          <w:tcPr>
            <w:tcW w:w="748" w:type="pct"/>
            <w:gridSpan w:val="13"/>
            <w:noWrap/>
          </w:tcPr>
          <w:p w:rsidR="003A3E9A" w:rsidRPr="007E7D8B" w:rsidRDefault="003A3E9A" w:rsidP="003A3E9A">
            <w:pPr>
              <w:rPr>
                <w:rFonts w:cs="Arial"/>
                <w:sz w:val="18"/>
                <w:szCs w:val="18"/>
                <w:lang w:val="de-DE" w:eastAsia="sk-SK"/>
              </w:rPr>
            </w:pPr>
          </w:p>
        </w:tc>
        <w:tc>
          <w:tcPr>
            <w:tcW w:w="208" w:type="pct"/>
            <w:gridSpan w:val="5"/>
            <w:noWrap/>
          </w:tcPr>
          <w:p w:rsidR="003A3E9A" w:rsidRPr="007E7D8B" w:rsidRDefault="003A3E9A" w:rsidP="003A3E9A">
            <w:pPr>
              <w:rPr>
                <w:rFonts w:cs="Arial"/>
                <w:sz w:val="18"/>
                <w:szCs w:val="18"/>
                <w:lang w:val="de-DE" w:eastAsia="sk-SK"/>
              </w:rPr>
            </w:pPr>
          </w:p>
        </w:tc>
        <w:tc>
          <w:tcPr>
            <w:tcW w:w="143" w:type="pct"/>
            <w:gridSpan w:val="2"/>
            <w:noWrap/>
          </w:tcPr>
          <w:p w:rsidR="003A3E9A" w:rsidRPr="007E7D8B" w:rsidRDefault="003A3E9A" w:rsidP="003A3E9A">
            <w:pPr>
              <w:rPr>
                <w:rFonts w:cs="Arial"/>
                <w:sz w:val="18"/>
                <w:szCs w:val="18"/>
                <w:lang w:val="de-DE" w:eastAsia="sk-SK"/>
              </w:rPr>
            </w:pPr>
          </w:p>
        </w:tc>
        <w:tc>
          <w:tcPr>
            <w:tcW w:w="720" w:type="pct"/>
            <w:gridSpan w:val="13"/>
            <w:noWrap/>
          </w:tcPr>
          <w:p w:rsidR="003A3E9A" w:rsidRPr="007E7D8B" w:rsidRDefault="003A3E9A" w:rsidP="003A3E9A">
            <w:pPr>
              <w:rPr>
                <w:rFonts w:cs="Arial"/>
                <w:sz w:val="18"/>
                <w:szCs w:val="18"/>
                <w:lang w:val="de-DE" w:eastAsia="sk-SK"/>
              </w:rPr>
            </w:pPr>
          </w:p>
        </w:tc>
        <w:tc>
          <w:tcPr>
            <w:tcW w:w="129" w:type="pct"/>
            <w:gridSpan w:val="3"/>
            <w:noWrap/>
          </w:tcPr>
          <w:p w:rsidR="003A3E9A" w:rsidRPr="007E7D8B" w:rsidRDefault="003A3E9A" w:rsidP="003A3E9A">
            <w:pPr>
              <w:rPr>
                <w:rFonts w:cs="Arial"/>
                <w:sz w:val="18"/>
                <w:szCs w:val="18"/>
                <w:lang w:val="de-DE" w:eastAsia="sk-SK"/>
              </w:rPr>
            </w:pPr>
          </w:p>
        </w:tc>
        <w:tc>
          <w:tcPr>
            <w:tcW w:w="134" w:type="pct"/>
            <w:gridSpan w:val="2"/>
            <w:noWrap/>
          </w:tcPr>
          <w:p w:rsidR="003A3E9A" w:rsidRPr="007E7D8B" w:rsidRDefault="003A3E9A" w:rsidP="003A3E9A">
            <w:pPr>
              <w:rPr>
                <w:rFonts w:cs="Arial"/>
                <w:sz w:val="18"/>
                <w:szCs w:val="18"/>
                <w:lang w:val="de-DE" w:eastAsia="sk-SK"/>
              </w:rPr>
            </w:pPr>
          </w:p>
        </w:tc>
        <w:tc>
          <w:tcPr>
            <w:tcW w:w="84" w:type="pct"/>
            <w:tcBorders>
              <w:right w:val="nil"/>
            </w:tcBorders>
            <w:noWrap/>
          </w:tcPr>
          <w:p w:rsidR="003A3E9A" w:rsidRPr="007E7D8B" w:rsidRDefault="003A3E9A" w:rsidP="003A3E9A">
            <w:pPr>
              <w:rPr>
                <w:rFonts w:cs="Arial"/>
                <w:sz w:val="18"/>
                <w:szCs w:val="18"/>
                <w:lang w:val="de-DE" w:eastAsia="sk-SK"/>
              </w:rPr>
            </w:pPr>
          </w:p>
        </w:tc>
      </w:tr>
      <w:tr w:rsidR="00117EA1" w:rsidRPr="007E7D8B" w:rsidTr="00AC0D5A">
        <w:trPr>
          <w:trHeight w:val="57"/>
          <w:jc w:val="center"/>
        </w:trPr>
        <w:tc>
          <w:tcPr>
            <w:tcW w:w="1160" w:type="pct"/>
            <w:gridSpan w:val="8"/>
            <w:tcBorders>
              <w:left w:val="nil"/>
              <w:bottom w:val="nil"/>
              <w:right w:val="nil"/>
            </w:tcBorders>
            <w:noWrap/>
          </w:tcPr>
          <w:p w:rsidR="00117EA1" w:rsidRPr="007E7D8B" w:rsidRDefault="00117EA1" w:rsidP="003A3E9A">
            <w:pPr>
              <w:rPr>
                <w:rFonts w:cs="Arial"/>
                <w:b/>
                <w:bCs/>
                <w:sz w:val="18"/>
                <w:szCs w:val="18"/>
                <w:lang w:val="de-DE" w:eastAsia="sk-SK"/>
              </w:rPr>
            </w:pPr>
            <w:r w:rsidRPr="00687C63">
              <w:rPr>
                <w:rFonts w:cs="Arial"/>
                <w:b/>
                <w:bCs/>
                <w:sz w:val="18"/>
                <w:szCs w:val="18"/>
                <w:lang w:val="de-DE" w:eastAsia="sk-SK"/>
              </w:rPr>
              <w:t>IČO</w:t>
            </w:r>
            <w:r>
              <w:rPr>
                <w:rFonts w:cs="Arial"/>
                <w:b/>
                <w:bCs/>
                <w:sz w:val="18"/>
                <w:szCs w:val="18"/>
                <w:lang w:val="de-DE" w:eastAsia="sk-SK"/>
              </w:rPr>
              <w:t xml:space="preserve"> </w:t>
            </w:r>
          </w:p>
          <w:p w:rsidR="00117EA1" w:rsidRPr="00117EA1" w:rsidRDefault="008C782B" w:rsidP="003A3E9A">
            <w:pPr>
              <w:rPr>
                <w:rFonts w:cs="Arial"/>
                <w:b/>
                <w:sz w:val="18"/>
                <w:szCs w:val="18"/>
                <w:lang w:val="en-US" w:eastAsia="sk-SK"/>
              </w:rPr>
            </w:pPr>
            <w:r w:rsidRPr="008C782B">
              <w:rPr>
                <w:rFonts w:cs="Arial"/>
                <w:b/>
                <w:sz w:val="18"/>
                <w:szCs w:val="18"/>
                <w:lang w:val="en-US" w:eastAsia="sk-SK"/>
              </w:rPr>
              <w:t>(Identifikationsnummer)</w:t>
            </w:r>
          </w:p>
        </w:tc>
        <w:tc>
          <w:tcPr>
            <w:tcW w:w="112" w:type="pct"/>
            <w:tcBorders>
              <w:left w:val="nil"/>
              <w:bottom w:val="nil"/>
              <w:right w:val="nil"/>
            </w:tcBorders>
            <w:noWrap/>
          </w:tcPr>
          <w:p w:rsidR="00117EA1" w:rsidRPr="007E7D8B" w:rsidRDefault="00117EA1" w:rsidP="003A3E9A">
            <w:pPr>
              <w:rPr>
                <w:rFonts w:cs="Arial"/>
                <w:sz w:val="18"/>
                <w:szCs w:val="18"/>
                <w:lang w:val="de-DE" w:eastAsia="sk-SK"/>
              </w:rPr>
            </w:pPr>
          </w:p>
        </w:tc>
        <w:tc>
          <w:tcPr>
            <w:tcW w:w="1563" w:type="pct"/>
            <w:gridSpan w:val="13"/>
            <w:tcBorders>
              <w:left w:val="nil"/>
              <w:bottom w:val="nil"/>
              <w:right w:val="nil"/>
            </w:tcBorders>
            <w:noWrap/>
          </w:tcPr>
          <w:p w:rsidR="00117EA1" w:rsidRPr="007E7D8B" w:rsidRDefault="00117EA1" w:rsidP="003A3E9A">
            <w:pPr>
              <w:rPr>
                <w:rFonts w:cs="Arial"/>
                <w:sz w:val="18"/>
                <w:szCs w:val="18"/>
                <w:lang w:val="de-DE" w:eastAsia="sk-SK"/>
              </w:rPr>
            </w:pPr>
            <w:r w:rsidRPr="00687C63">
              <w:rPr>
                <w:rFonts w:cs="Arial"/>
                <w:b/>
                <w:bCs/>
                <w:sz w:val="18"/>
                <w:szCs w:val="18"/>
                <w:lang w:val="de-DE" w:eastAsia="sk-SK"/>
              </w:rPr>
              <w:t>DIČ</w:t>
            </w:r>
            <w:r>
              <w:rPr>
                <w:rFonts w:cs="Arial"/>
                <w:b/>
                <w:bCs/>
                <w:sz w:val="18"/>
                <w:szCs w:val="18"/>
                <w:lang w:val="de-DE" w:eastAsia="sk-SK"/>
              </w:rPr>
              <w:t xml:space="preserve"> </w:t>
            </w:r>
            <w:r w:rsidRPr="00687C63">
              <w:rPr>
                <w:rFonts w:cs="Arial"/>
                <w:b/>
                <w:bCs/>
                <w:sz w:val="18"/>
                <w:szCs w:val="18"/>
                <w:lang w:val="de-DE" w:eastAsia="sk-SK"/>
              </w:rPr>
              <w:t xml:space="preserve"> (Steueridentifikationsnummer)</w:t>
            </w:r>
          </w:p>
        </w:tc>
        <w:tc>
          <w:tcPr>
            <w:tcW w:w="114" w:type="pct"/>
            <w:gridSpan w:val="2"/>
            <w:tcBorders>
              <w:left w:val="nil"/>
              <w:bottom w:val="nil"/>
              <w:right w:val="nil"/>
            </w:tcBorders>
            <w:noWrap/>
          </w:tcPr>
          <w:p w:rsidR="00117EA1" w:rsidRPr="007E7D8B" w:rsidRDefault="00117EA1" w:rsidP="003A3E9A">
            <w:pPr>
              <w:rPr>
                <w:rFonts w:cs="Arial"/>
                <w:sz w:val="18"/>
                <w:szCs w:val="18"/>
                <w:lang w:val="de-DE" w:eastAsia="sk-SK"/>
              </w:rPr>
            </w:pPr>
          </w:p>
        </w:tc>
        <w:tc>
          <w:tcPr>
            <w:tcW w:w="842" w:type="pct"/>
            <w:gridSpan w:val="16"/>
            <w:tcBorders>
              <w:left w:val="nil"/>
              <w:bottom w:val="nil"/>
              <w:right w:val="nil"/>
            </w:tcBorders>
            <w:noWrap/>
          </w:tcPr>
          <w:p w:rsidR="00117EA1" w:rsidRPr="007E7D8B" w:rsidRDefault="00117EA1" w:rsidP="005D1BAC">
            <w:pPr>
              <w:rPr>
                <w:rFonts w:cs="Arial"/>
                <w:b/>
                <w:bCs/>
                <w:sz w:val="18"/>
                <w:szCs w:val="18"/>
                <w:lang w:val="de-DE" w:eastAsia="sk-SK"/>
              </w:rPr>
            </w:pPr>
            <w:r w:rsidRPr="00687C63">
              <w:rPr>
                <w:rFonts w:cs="Arial"/>
                <w:b/>
                <w:bCs/>
                <w:sz w:val="18"/>
                <w:szCs w:val="18"/>
                <w:lang w:val="de-DE" w:eastAsia="sk-SK"/>
              </w:rPr>
              <w:t xml:space="preserve">SK NACE </w:t>
            </w:r>
          </w:p>
        </w:tc>
        <w:tc>
          <w:tcPr>
            <w:tcW w:w="143" w:type="pct"/>
            <w:gridSpan w:val="2"/>
            <w:tcBorders>
              <w:left w:val="nil"/>
              <w:bottom w:val="nil"/>
              <w:right w:val="nil"/>
            </w:tcBorders>
            <w:noWrap/>
          </w:tcPr>
          <w:p w:rsidR="00117EA1" w:rsidRPr="007E7D8B" w:rsidRDefault="00117EA1" w:rsidP="003A3E9A">
            <w:pPr>
              <w:rPr>
                <w:rFonts w:cs="Arial"/>
                <w:sz w:val="18"/>
                <w:szCs w:val="18"/>
                <w:lang w:val="de-DE" w:eastAsia="sk-SK"/>
              </w:rPr>
            </w:pPr>
          </w:p>
        </w:tc>
        <w:tc>
          <w:tcPr>
            <w:tcW w:w="149" w:type="pct"/>
            <w:gridSpan w:val="2"/>
            <w:tcBorders>
              <w:left w:val="nil"/>
              <w:bottom w:val="nil"/>
              <w:right w:val="nil"/>
            </w:tcBorders>
            <w:noWrap/>
          </w:tcPr>
          <w:p w:rsidR="00117EA1" w:rsidRPr="007E7D8B" w:rsidRDefault="00117EA1" w:rsidP="003A3E9A">
            <w:pPr>
              <w:rPr>
                <w:rFonts w:cs="Arial"/>
                <w:sz w:val="18"/>
                <w:szCs w:val="18"/>
                <w:lang w:val="de-DE" w:eastAsia="sk-SK"/>
              </w:rPr>
            </w:pPr>
          </w:p>
        </w:tc>
        <w:tc>
          <w:tcPr>
            <w:tcW w:w="139" w:type="pct"/>
            <w:tcBorders>
              <w:left w:val="nil"/>
              <w:bottom w:val="nil"/>
              <w:right w:val="nil"/>
            </w:tcBorders>
            <w:noWrap/>
          </w:tcPr>
          <w:p w:rsidR="00117EA1" w:rsidRPr="007E7D8B" w:rsidRDefault="00117EA1" w:rsidP="003A3E9A">
            <w:pPr>
              <w:rPr>
                <w:rFonts w:cs="Arial"/>
                <w:sz w:val="18"/>
                <w:szCs w:val="18"/>
                <w:lang w:val="de-DE" w:eastAsia="sk-SK"/>
              </w:rPr>
            </w:pPr>
          </w:p>
        </w:tc>
        <w:tc>
          <w:tcPr>
            <w:tcW w:w="133" w:type="pct"/>
            <w:gridSpan w:val="3"/>
            <w:tcBorders>
              <w:left w:val="nil"/>
              <w:bottom w:val="nil"/>
              <w:right w:val="nil"/>
            </w:tcBorders>
            <w:noWrap/>
          </w:tcPr>
          <w:p w:rsidR="00117EA1" w:rsidRPr="007E7D8B" w:rsidRDefault="00117EA1" w:rsidP="003A3E9A">
            <w:pPr>
              <w:rPr>
                <w:rFonts w:cs="Arial"/>
                <w:sz w:val="18"/>
                <w:szCs w:val="18"/>
                <w:lang w:val="de-DE" w:eastAsia="sk-SK"/>
              </w:rPr>
            </w:pPr>
          </w:p>
        </w:tc>
        <w:tc>
          <w:tcPr>
            <w:tcW w:w="162" w:type="pct"/>
            <w:gridSpan w:val="4"/>
            <w:tcBorders>
              <w:left w:val="nil"/>
              <w:bottom w:val="nil"/>
              <w:right w:val="nil"/>
            </w:tcBorders>
            <w:noWrap/>
          </w:tcPr>
          <w:p w:rsidR="00117EA1" w:rsidRPr="007E7D8B" w:rsidRDefault="00117EA1" w:rsidP="003A3E9A">
            <w:pPr>
              <w:rPr>
                <w:rFonts w:cs="Arial"/>
                <w:sz w:val="18"/>
                <w:szCs w:val="18"/>
                <w:lang w:val="de-DE" w:eastAsia="sk-SK"/>
              </w:rPr>
            </w:pPr>
          </w:p>
        </w:tc>
        <w:tc>
          <w:tcPr>
            <w:tcW w:w="136" w:type="pct"/>
            <w:gridSpan w:val="3"/>
            <w:tcBorders>
              <w:left w:val="nil"/>
              <w:bottom w:val="nil"/>
              <w:right w:val="nil"/>
            </w:tcBorders>
            <w:noWrap/>
          </w:tcPr>
          <w:p w:rsidR="00117EA1" w:rsidRPr="007E7D8B" w:rsidRDefault="00117EA1" w:rsidP="003A3E9A">
            <w:pPr>
              <w:rPr>
                <w:rFonts w:cs="Arial"/>
                <w:sz w:val="18"/>
                <w:szCs w:val="18"/>
                <w:lang w:val="de-DE" w:eastAsia="sk-SK"/>
              </w:rPr>
            </w:pPr>
          </w:p>
        </w:tc>
        <w:tc>
          <w:tcPr>
            <w:tcW w:w="129" w:type="pct"/>
            <w:gridSpan w:val="3"/>
            <w:tcBorders>
              <w:left w:val="nil"/>
              <w:bottom w:val="nil"/>
              <w:right w:val="nil"/>
            </w:tcBorders>
            <w:noWrap/>
          </w:tcPr>
          <w:p w:rsidR="00117EA1" w:rsidRPr="007E7D8B" w:rsidRDefault="00117EA1" w:rsidP="003A3E9A">
            <w:pPr>
              <w:rPr>
                <w:rFonts w:cs="Arial"/>
                <w:sz w:val="18"/>
                <w:szCs w:val="18"/>
                <w:lang w:val="de-DE" w:eastAsia="sk-SK"/>
              </w:rPr>
            </w:pPr>
          </w:p>
        </w:tc>
        <w:tc>
          <w:tcPr>
            <w:tcW w:w="134" w:type="pct"/>
            <w:gridSpan w:val="2"/>
            <w:tcBorders>
              <w:left w:val="nil"/>
              <w:bottom w:val="nil"/>
              <w:right w:val="nil"/>
            </w:tcBorders>
            <w:noWrap/>
          </w:tcPr>
          <w:p w:rsidR="00117EA1" w:rsidRPr="007E7D8B" w:rsidRDefault="00117EA1" w:rsidP="003A3E9A">
            <w:pPr>
              <w:rPr>
                <w:rFonts w:cs="Arial"/>
                <w:sz w:val="18"/>
                <w:szCs w:val="18"/>
                <w:lang w:val="de-DE" w:eastAsia="sk-SK"/>
              </w:rPr>
            </w:pPr>
          </w:p>
        </w:tc>
        <w:tc>
          <w:tcPr>
            <w:tcW w:w="84" w:type="pct"/>
            <w:tcBorders>
              <w:left w:val="nil"/>
              <w:bottom w:val="nil"/>
              <w:right w:val="nil"/>
            </w:tcBorders>
            <w:noWrap/>
          </w:tcPr>
          <w:p w:rsidR="00117EA1" w:rsidRPr="007E7D8B" w:rsidRDefault="00117EA1" w:rsidP="003A3E9A">
            <w:pPr>
              <w:rPr>
                <w:rFonts w:cs="Arial"/>
                <w:sz w:val="18"/>
                <w:szCs w:val="18"/>
                <w:lang w:val="de-DE" w:eastAsia="sk-SK"/>
              </w:rPr>
            </w:pPr>
          </w:p>
        </w:tc>
      </w:tr>
      <w:tr w:rsidR="00992AB0" w:rsidRPr="007E7D8B" w:rsidTr="00AC0D5A">
        <w:trPr>
          <w:gridAfter w:val="2"/>
          <w:wAfter w:w="187" w:type="pct"/>
          <w:trHeight w:val="57"/>
          <w:jc w:val="center"/>
        </w:trPr>
        <w:tc>
          <w:tcPr>
            <w:tcW w:w="160" w:type="pct"/>
            <w:tcBorders>
              <w:top w:val="single" w:sz="4" w:space="0" w:color="auto"/>
              <w:left w:val="single" w:sz="4" w:space="0" w:color="auto"/>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 9</w:t>
            </w:r>
          </w:p>
        </w:tc>
        <w:tc>
          <w:tcPr>
            <w:tcW w:w="153"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9 </w:t>
            </w:r>
          </w:p>
        </w:tc>
        <w:tc>
          <w:tcPr>
            <w:tcW w:w="179"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9 </w:t>
            </w:r>
          </w:p>
        </w:tc>
        <w:tc>
          <w:tcPr>
            <w:tcW w:w="126"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49"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9 </w:t>
            </w:r>
          </w:p>
        </w:tc>
        <w:tc>
          <w:tcPr>
            <w:tcW w:w="129"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33"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30"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12" w:type="pct"/>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68" w:type="pct"/>
            <w:tcBorders>
              <w:top w:val="single" w:sz="4" w:space="0" w:color="auto"/>
              <w:left w:val="single" w:sz="4" w:space="0" w:color="auto"/>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 9</w:t>
            </w:r>
          </w:p>
        </w:tc>
        <w:tc>
          <w:tcPr>
            <w:tcW w:w="149"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9 </w:t>
            </w:r>
          </w:p>
        </w:tc>
        <w:tc>
          <w:tcPr>
            <w:tcW w:w="132"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30"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42"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23"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56"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25"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25" w:type="pct"/>
            <w:gridSpan w:val="2"/>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26" w:type="pct"/>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14" w:type="pct"/>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48" w:type="pct"/>
            <w:gridSpan w:val="2"/>
            <w:tcBorders>
              <w:top w:val="single" w:sz="4" w:space="0" w:color="auto"/>
              <w:left w:val="single" w:sz="4" w:space="0" w:color="auto"/>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 9</w:t>
            </w:r>
          </w:p>
        </w:tc>
        <w:tc>
          <w:tcPr>
            <w:tcW w:w="152" w:type="pct"/>
            <w:gridSpan w:val="2"/>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9 </w:t>
            </w:r>
          </w:p>
        </w:tc>
        <w:tc>
          <w:tcPr>
            <w:tcW w:w="117" w:type="pct"/>
            <w:gridSpan w:val="3"/>
            <w:tcBorders>
              <w:top w:val="nil"/>
              <w:left w:val="nil"/>
              <w:bottom w:val="nil"/>
              <w:right w:val="nil"/>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w:t>
            </w:r>
          </w:p>
        </w:tc>
        <w:tc>
          <w:tcPr>
            <w:tcW w:w="127" w:type="pct"/>
            <w:gridSpan w:val="2"/>
            <w:tcBorders>
              <w:top w:val="single" w:sz="4" w:space="0" w:color="auto"/>
              <w:left w:val="single" w:sz="4" w:space="0" w:color="auto"/>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26" w:type="pct"/>
            <w:gridSpan w:val="3"/>
            <w:tcBorders>
              <w:top w:val="single" w:sz="4" w:space="0" w:color="auto"/>
              <w:left w:val="nil"/>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73" w:type="pct"/>
            <w:gridSpan w:val="3"/>
            <w:tcBorders>
              <w:top w:val="nil"/>
              <w:left w:val="nil"/>
              <w:bottom w:val="nil"/>
              <w:right w:val="nil"/>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w:t>
            </w:r>
          </w:p>
        </w:tc>
        <w:tc>
          <w:tcPr>
            <w:tcW w:w="143" w:type="pct"/>
            <w:gridSpan w:val="3"/>
            <w:tcBorders>
              <w:top w:val="single" w:sz="4" w:space="0" w:color="auto"/>
              <w:left w:val="single" w:sz="4" w:space="0" w:color="auto"/>
              <w:bottom w:val="single" w:sz="4" w:space="0" w:color="auto"/>
              <w:right w:val="single" w:sz="4" w:space="0" w:color="auto"/>
            </w:tcBorders>
            <w:noWrap/>
          </w:tcPr>
          <w:p w:rsidR="00992AB0" w:rsidRPr="007E7D8B" w:rsidRDefault="00992AB0" w:rsidP="003A3E9A">
            <w:pPr>
              <w:rPr>
                <w:rFonts w:cs="Arial"/>
                <w:sz w:val="18"/>
                <w:szCs w:val="18"/>
                <w:lang w:val="de-DE" w:eastAsia="sk-SK"/>
              </w:rPr>
            </w:pPr>
            <w:r w:rsidRPr="00687C63">
              <w:rPr>
                <w:rFonts w:cs="Arial"/>
                <w:sz w:val="18"/>
                <w:szCs w:val="18"/>
                <w:lang w:val="de-DE" w:eastAsia="sk-SK"/>
              </w:rPr>
              <w:t>9</w:t>
            </w:r>
          </w:p>
        </w:tc>
        <w:tc>
          <w:tcPr>
            <w:tcW w:w="149" w:type="pct"/>
            <w:gridSpan w:val="2"/>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76" w:type="pct"/>
            <w:gridSpan w:val="2"/>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64" w:type="pct"/>
            <w:gridSpan w:val="3"/>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33" w:type="pct"/>
            <w:gridSpan w:val="3"/>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35" w:type="pct"/>
            <w:gridSpan w:val="2"/>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91" w:type="pct"/>
            <w:gridSpan w:val="3"/>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133" w:type="pct"/>
            <w:gridSpan w:val="3"/>
            <w:tcBorders>
              <w:top w:val="nil"/>
              <w:left w:val="nil"/>
              <w:bottom w:val="nil"/>
              <w:right w:val="nil"/>
            </w:tcBorders>
            <w:noWrap/>
          </w:tcPr>
          <w:p w:rsidR="00992AB0" w:rsidRPr="007E7D8B" w:rsidRDefault="00992AB0" w:rsidP="003A3E9A">
            <w:pPr>
              <w:rPr>
                <w:rFonts w:cs="Arial"/>
                <w:sz w:val="18"/>
                <w:szCs w:val="18"/>
                <w:lang w:val="de-DE" w:eastAsia="sk-SK"/>
              </w:rPr>
            </w:pPr>
          </w:p>
        </w:tc>
        <w:tc>
          <w:tcPr>
            <w:tcW w:w="84" w:type="pct"/>
            <w:gridSpan w:val="2"/>
            <w:tcBorders>
              <w:top w:val="nil"/>
              <w:left w:val="nil"/>
              <w:bottom w:val="nil"/>
              <w:right w:val="nil"/>
            </w:tcBorders>
            <w:noWrap/>
          </w:tcPr>
          <w:p w:rsidR="00992AB0" w:rsidRPr="007E7D8B" w:rsidRDefault="00992AB0" w:rsidP="003A3E9A">
            <w:pPr>
              <w:rPr>
                <w:rFonts w:cs="Arial"/>
                <w:sz w:val="18"/>
                <w:szCs w:val="18"/>
                <w:lang w:val="de-DE" w:eastAsia="sk-SK"/>
              </w:rPr>
            </w:pPr>
          </w:p>
        </w:tc>
      </w:tr>
      <w:tr w:rsidR="00585B18" w:rsidRPr="007E7D8B" w:rsidTr="00AC0D5A">
        <w:trPr>
          <w:trHeight w:val="57"/>
          <w:jc w:val="center"/>
        </w:trPr>
        <w:tc>
          <w:tcPr>
            <w:tcW w:w="2835" w:type="pct"/>
            <w:gridSpan w:val="22"/>
            <w:tcBorders>
              <w:top w:val="nil"/>
              <w:left w:val="nil"/>
              <w:bottom w:val="nil"/>
              <w:right w:val="nil"/>
            </w:tcBorders>
            <w:noWrap/>
          </w:tcPr>
          <w:p w:rsidR="003A3E9A" w:rsidRPr="007E7D8B" w:rsidRDefault="003A3E9A" w:rsidP="003A3E9A">
            <w:pPr>
              <w:rPr>
                <w:rFonts w:cs="Arial"/>
                <w:b/>
                <w:bCs/>
                <w:sz w:val="18"/>
                <w:szCs w:val="18"/>
                <w:lang w:val="de-DE" w:eastAsia="sk-SK"/>
              </w:rPr>
            </w:pPr>
          </w:p>
          <w:p w:rsidR="003A3E9A" w:rsidRPr="007E7D8B" w:rsidRDefault="003A3E9A" w:rsidP="003A3E9A">
            <w:pPr>
              <w:rPr>
                <w:rFonts w:cs="Arial"/>
                <w:b/>
                <w:bCs/>
                <w:sz w:val="18"/>
                <w:szCs w:val="18"/>
                <w:lang w:val="de-DE" w:eastAsia="sk-SK"/>
              </w:rPr>
            </w:pPr>
          </w:p>
          <w:p w:rsidR="003A3E9A" w:rsidRPr="007E7D8B" w:rsidRDefault="00687C63" w:rsidP="003A3E9A">
            <w:pPr>
              <w:rPr>
                <w:rFonts w:cs="Arial"/>
                <w:b/>
                <w:bCs/>
                <w:sz w:val="18"/>
                <w:szCs w:val="18"/>
                <w:lang w:val="de-DE" w:eastAsia="sk-SK"/>
              </w:rPr>
            </w:pPr>
            <w:r w:rsidRPr="00687C63">
              <w:rPr>
                <w:rFonts w:cs="Arial"/>
                <w:b/>
                <w:bCs/>
                <w:sz w:val="18"/>
                <w:szCs w:val="18"/>
                <w:lang w:val="de-DE" w:eastAsia="sk-SK"/>
              </w:rPr>
              <w:t>Handelsname (Bezeichnung) der Buchführungseinheit</w:t>
            </w:r>
          </w:p>
        </w:tc>
        <w:tc>
          <w:tcPr>
            <w:tcW w:w="11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8"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2"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7"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3"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91"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585B18" w:rsidRPr="007E7D8B" w:rsidTr="00AC0D5A">
        <w:trPr>
          <w:trHeight w:val="57"/>
          <w:jc w:val="center"/>
        </w:trPr>
        <w:tc>
          <w:tcPr>
            <w:tcW w:w="160"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A</w:t>
            </w:r>
          </w:p>
        </w:tc>
        <w:tc>
          <w:tcPr>
            <w:tcW w:w="153"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B</w:t>
            </w:r>
          </w:p>
        </w:tc>
        <w:tc>
          <w:tcPr>
            <w:tcW w:w="179"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C </w:t>
            </w:r>
          </w:p>
        </w:tc>
        <w:tc>
          <w:tcPr>
            <w:tcW w:w="126"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S</w:t>
            </w:r>
          </w:p>
        </w:tc>
        <w:tc>
          <w:tcPr>
            <w:tcW w:w="129"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l</w:t>
            </w:r>
          </w:p>
        </w:tc>
        <w:tc>
          <w:tcPr>
            <w:tcW w:w="133"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o</w:t>
            </w:r>
          </w:p>
        </w:tc>
        <w:tc>
          <w:tcPr>
            <w:tcW w:w="130"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v</w:t>
            </w:r>
          </w:p>
        </w:tc>
        <w:tc>
          <w:tcPr>
            <w:tcW w:w="112"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e</w:t>
            </w:r>
          </w:p>
        </w:tc>
        <w:tc>
          <w:tcPr>
            <w:tcW w:w="168"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n</w:t>
            </w:r>
          </w:p>
        </w:tc>
        <w:tc>
          <w:tcPr>
            <w:tcW w:w="149"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s</w:t>
            </w:r>
          </w:p>
        </w:tc>
        <w:tc>
          <w:tcPr>
            <w:tcW w:w="132"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k</w:t>
            </w:r>
          </w:p>
        </w:tc>
        <w:tc>
          <w:tcPr>
            <w:tcW w:w="130"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á</w:t>
            </w:r>
          </w:p>
        </w:tc>
        <w:tc>
          <w:tcPr>
            <w:tcW w:w="142" w:type="pct"/>
            <w:tcBorders>
              <w:top w:val="single" w:sz="6" w:space="0" w:color="auto"/>
              <w:left w:val="single" w:sz="6" w:space="0" w:color="auto"/>
              <w:bottom w:val="single" w:sz="6" w:space="0" w:color="auto"/>
              <w:right w:val="single" w:sz="6"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3" w:type="pct"/>
            <w:tcBorders>
              <w:top w:val="single" w:sz="6" w:space="0" w:color="auto"/>
              <w:left w:val="single" w:sz="6" w:space="0" w:color="auto"/>
              <w:bottom w:val="single" w:sz="6" w:space="0" w:color="auto"/>
              <w:right w:val="single" w:sz="6"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v</w:t>
            </w:r>
          </w:p>
        </w:tc>
        <w:tc>
          <w:tcPr>
            <w:tcW w:w="156" w:type="pct"/>
            <w:tcBorders>
              <w:top w:val="single" w:sz="4" w:space="0" w:color="auto"/>
              <w:left w:val="single" w:sz="6" w:space="0" w:color="auto"/>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ý</w:t>
            </w:r>
          </w:p>
        </w:tc>
        <w:tc>
          <w:tcPr>
            <w:tcW w:w="125"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r</w:t>
            </w:r>
          </w:p>
        </w:tc>
        <w:tc>
          <w:tcPr>
            <w:tcW w:w="125" w:type="pct"/>
            <w:gridSpan w:val="2"/>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o</w:t>
            </w:r>
          </w:p>
        </w:tc>
        <w:tc>
          <w:tcPr>
            <w:tcW w:w="126"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b</w:t>
            </w:r>
          </w:p>
        </w:tc>
        <w:tc>
          <w:tcPr>
            <w:tcW w:w="187" w:type="pct"/>
            <w:gridSpan w:val="2"/>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a</w:t>
            </w:r>
            <w:r w:rsidR="00687C63" w:rsidRPr="00687C63">
              <w:rPr>
                <w:rFonts w:cs="Arial"/>
                <w:sz w:val="18"/>
                <w:szCs w:val="18"/>
                <w:lang w:val="de-DE" w:eastAsia="sk-SK"/>
              </w:rPr>
              <w:t> </w:t>
            </w:r>
          </w:p>
        </w:tc>
        <w:tc>
          <w:tcPr>
            <w:tcW w:w="114"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8"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s </w:t>
            </w:r>
          </w:p>
        </w:tc>
        <w:tc>
          <w:tcPr>
            <w:tcW w:w="152"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p </w:t>
            </w:r>
          </w:p>
        </w:tc>
        <w:tc>
          <w:tcPr>
            <w:tcW w:w="117"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o</w:t>
            </w:r>
          </w:p>
        </w:tc>
        <w:tc>
          <w:tcPr>
            <w:tcW w:w="12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l.</w:t>
            </w:r>
          </w:p>
        </w:tc>
        <w:tc>
          <w:tcPr>
            <w:tcW w:w="126"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3"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s </w:t>
            </w:r>
          </w:p>
        </w:tc>
        <w:tc>
          <w:tcPr>
            <w:tcW w:w="149"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r. </w:t>
            </w:r>
          </w:p>
        </w:tc>
        <w:tc>
          <w:tcPr>
            <w:tcW w:w="164"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o.</w:t>
            </w:r>
          </w:p>
        </w:tc>
        <w:tc>
          <w:tcPr>
            <w:tcW w:w="13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91"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84"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r>
      <w:tr w:rsidR="00585B18" w:rsidRPr="007E7D8B" w:rsidTr="00AC0D5A">
        <w:trPr>
          <w:trHeight w:val="57"/>
          <w:jc w:val="center"/>
        </w:trPr>
        <w:tc>
          <w:tcPr>
            <w:tcW w:w="160" w:type="pct"/>
            <w:tcBorders>
              <w:top w:val="single" w:sz="6"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3"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9"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9"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3"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0"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2"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68"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2"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0"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2"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3" w:type="pct"/>
            <w:tcBorders>
              <w:top w:val="single" w:sz="6"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6" w:type="pct"/>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5" w:type="pct"/>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5"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87"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4"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8"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2"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7"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7"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3"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3"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7"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64"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3"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3"/>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91"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2"/>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84" w:type="pct"/>
            <w:tcBorders>
              <w:top w:val="nil"/>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r>
      <w:tr w:rsidR="003A3E9A" w:rsidRPr="007E7D8B" w:rsidTr="00A629C9">
        <w:trPr>
          <w:trHeight w:val="57"/>
          <w:jc w:val="center"/>
        </w:trPr>
        <w:tc>
          <w:tcPr>
            <w:tcW w:w="5000" w:type="pct"/>
            <w:gridSpan w:val="61"/>
            <w:tcBorders>
              <w:top w:val="nil"/>
              <w:left w:val="nil"/>
              <w:bottom w:val="nil"/>
              <w:right w:val="nil"/>
            </w:tcBorders>
            <w:noWrap/>
          </w:tcPr>
          <w:p w:rsidR="003A3E9A" w:rsidRPr="007E7D8B" w:rsidRDefault="003A3E9A" w:rsidP="003A3E9A">
            <w:pPr>
              <w:rPr>
                <w:rFonts w:cs="Arial"/>
                <w:b/>
                <w:bCs/>
                <w:sz w:val="18"/>
                <w:szCs w:val="18"/>
                <w:lang w:val="de-DE" w:eastAsia="sk-SK"/>
              </w:rPr>
            </w:pPr>
          </w:p>
          <w:p w:rsidR="003A3E9A" w:rsidRPr="007E7D8B" w:rsidRDefault="003A3E9A" w:rsidP="003A3E9A">
            <w:pPr>
              <w:rPr>
                <w:rFonts w:cs="Arial"/>
                <w:b/>
                <w:bCs/>
                <w:sz w:val="18"/>
                <w:szCs w:val="18"/>
                <w:lang w:val="de-DE" w:eastAsia="sk-SK"/>
              </w:rPr>
            </w:pPr>
          </w:p>
          <w:p w:rsidR="003A3E9A" w:rsidRPr="007E7D8B" w:rsidRDefault="00687C63" w:rsidP="003A3E9A">
            <w:pPr>
              <w:rPr>
                <w:rFonts w:cs="Arial"/>
                <w:b/>
                <w:sz w:val="18"/>
                <w:szCs w:val="18"/>
                <w:lang w:val="de-DE" w:eastAsia="sk-SK"/>
              </w:rPr>
            </w:pPr>
            <w:r w:rsidRPr="00687C63">
              <w:rPr>
                <w:rFonts w:cs="Arial"/>
                <w:b/>
                <w:bCs/>
                <w:sz w:val="18"/>
                <w:szCs w:val="18"/>
                <w:lang w:val="de-DE" w:eastAsia="sk-SK"/>
              </w:rPr>
              <w:t>Sitz der Buchführungseinheit</w:t>
            </w:r>
          </w:p>
          <w:p w:rsidR="003A3E9A" w:rsidRPr="007E7D8B" w:rsidRDefault="00687C63" w:rsidP="00324EC5">
            <w:pPr>
              <w:rPr>
                <w:rFonts w:cs="Arial"/>
                <w:b/>
                <w:sz w:val="18"/>
                <w:szCs w:val="18"/>
                <w:lang w:val="de-DE" w:eastAsia="sk-SK"/>
              </w:rPr>
            </w:pPr>
            <w:r w:rsidRPr="00687C63">
              <w:rPr>
                <w:rFonts w:cs="Arial"/>
                <w:b/>
                <w:sz w:val="18"/>
                <w:szCs w:val="18"/>
                <w:lang w:val="de-DE" w:eastAsia="sk-SK"/>
              </w:rPr>
              <w:t xml:space="preserve">Straße                                                                                                                                                       </w:t>
            </w:r>
            <w:r w:rsidR="007E7D8B">
              <w:rPr>
                <w:rFonts w:cs="Arial"/>
                <w:b/>
                <w:sz w:val="18"/>
                <w:szCs w:val="18"/>
                <w:lang w:val="de-DE" w:eastAsia="sk-SK"/>
              </w:rPr>
              <w:t xml:space="preserve">   </w:t>
            </w:r>
            <w:r w:rsidRPr="00687C63">
              <w:rPr>
                <w:rFonts w:cs="Arial"/>
                <w:b/>
                <w:sz w:val="18"/>
                <w:szCs w:val="18"/>
                <w:lang w:val="de-DE" w:eastAsia="sk-SK"/>
              </w:rPr>
              <w:t>Nummer</w:t>
            </w:r>
          </w:p>
        </w:tc>
      </w:tr>
      <w:tr w:rsidR="00585B18" w:rsidRPr="007E7D8B" w:rsidTr="00AC0D5A">
        <w:trPr>
          <w:trHeight w:val="57"/>
          <w:jc w:val="center"/>
        </w:trPr>
        <w:tc>
          <w:tcPr>
            <w:tcW w:w="160" w:type="pct"/>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V</w:t>
            </w:r>
          </w:p>
        </w:tc>
        <w:tc>
          <w:tcPr>
            <w:tcW w:w="153"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ý</w:t>
            </w:r>
          </w:p>
        </w:tc>
        <w:tc>
          <w:tcPr>
            <w:tcW w:w="179"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r</w:t>
            </w:r>
            <w:r w:rsidR="00687C63" w:rsidRPr="00687C63">
              <w:rPr>
                <w:rFonts w:cs="Arial"/>
                <w:sz w:val="18"/>
                <w:szCs w:val="18"/>
                <w:lang w:val="de-DE" w:eastAsia="sk-SK"/>
              </w:rPr>
              <w:t> </w:t>
            </w:r>
          </w:p>
        </w:tc>
        <w:tc>
          <w:tcPr>
            <w:tcW w:w="126"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o</w:t>
            </w:r>
          </w:p>
        </w:tc>
        <w:tc>
          <w:tcPr>
            <w:tcW w:w="149"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b</w:t>
            </w:r>
          </w:p>
        </w:tc>
        <w:tc>
          <w:tcPr>
            <w:tcW w:w="129"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n</w:t>
            </w:r>
          </w:p>
        </w:tc>
        <w:tc>
          <w:tcPr>
            <w:tcW w:w="133"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á</w:t>
            </w:r>
          </w:p>
        </w:tc>
        <w:tc>
          <w:tcPr>
            <w:tcW w:w="130"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2"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u</w:t>
            </w:r>
          </w:p>
        </w:tc>
        <w:tc>
          <w:tcPr>
            <w:tcW w:w="168"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l </w:t>
            </w:r>
          </w:p>
        </w:tc>
        <w:tc>
          <w:tcPr>
            <w:tcW w:w="149"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i </w:t>
            </w:r>
          </w:p>
        </w:tc>
        <w:tc>
          <w:tcPr>
            <w:tcW w:w="132"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c</w:t>
            </w:r>
          </w:p>
        </w:tc>
        <w:tc>
          <w:tcPr>
            <w:tcW w:w="130"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a</w:t>
            </w:r>
          </w:p>
        </w:tc>
        <w:tc>
          <w:tcPr>
            <w:tcW w:w="142"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3"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6"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5"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5"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87"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4"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8"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2"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7"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3" w:type="pct"/>
            <w:gridSpan w:val="2"/>
            <w:tcBorders>
              <w:left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gridSpan w:val="2"/>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1</w:t>
            </w:r>
          </w:p>
        </w:tc>
        <w:tc>
          <w:tcPr>
            <w:tcW w:w="17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1 </w:t>
            </w:r>
          </w:p>
        </w:tc>
        <w:tc>
          <w:tcPr>
            <w:tcW w:w="164"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91"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84"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r>
      <w:tr w:rsidR="00585B18" w:rsidRPr="007E7D8B" w:rsidTr="00AC0D5A">
        <w:trPr>
          <w:trHeight w:val="57"/>
          <w:jc w:val="center"/>
        </w:trPr>
        <w:tc>
          <w:tcPr>
            <w:tcW w:w="2397" w:type="pct"/>
            <w:gridSpan w:val="17"/>
            <w:tcBorders>
              <w:top w:val="nil"/>
              <w:left w:val="nil"/>
              <w:bottom w:val="nil"/>
              <w:right w:val="nil"/>
            </w:tcBorders>
            <w:noWrap/>
          </w:tcPr>
          <w:p w:rsidR="003A3E9A" w:rsidRPr="007E7D8B" w:rsidRDefault="003A3E9A" w:rsidP="003A3E9A">
            <w:pPr>
              <w:rPr>
                <w:rFonts w:cs="Arial"/>
                <w:b/>
                <w:bCs/>
                <w:sz w:val="18"/>
                <w:szCs w:val="18"/>
                <w:lang w:val="de-DE" w:eastAsia="sk-SK"/>
              </w:rPr>
            </w:pPr>
          </w:p>
          <w:p w:rsidR="003A3E9A" w:rsidRPr="007E7D8B" w:rsidRDefault="003A3E9A" w:rsidP="003A3E9A">
            <w:pPr>
              <w:rPr>
                <w:rFonts w:cs="Arial"/>
                <w:b/>
                <w:bCs/>
                <w:sz w:val="18"/>
                <w:szCs w:val="18"/>
                <w:lang w:val="de-DE" w:eastAsia="sk-SK"/>
              </w:rPr>
            </w:pPr>
          </w:p>
          <w:p w:rsidR="003A3E9A" w:rsidRPr="007E7D8B" w:rsidRDefault="00687C63" w:rsidP="00324EC5">
            <w:pPr>
              <w:rPr>
                <w:rFonts w:cs="Arial"/>
                <w:sz w:val="18"/>
                <w:szCs w:val="18"/>
                <w:lang w:val="de-DE" w:eastAsia="sk-SK"/>
              </w:rPr>
            </w:pPr>
            <w:r w:rsidRPr="00687C63">
              <w:rPr>
                <w:rFonts w:cs="Arial"/>
                <w:b/>
                <w:bCs/>
                <w:sz w:val="18"/>
                <w:szCs w:val="18"/>
                <w:lang w:val="de-DE" w:eastAsia="sk-SK"/>
              </w:rPr>
              <w:t>PLZ                                   Ort</w:t>
            </w:r>
          </w:p>
        </w:tc>
        <w:tc>
          <w:tcPr>
            <w:tcW w:w="125"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87"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8"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2"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7"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3"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91"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585B18" w:rsidRPr="007E7D8B" w:rsidTr="00AC0D5A">
        <w:trPr>
          <w:trHeight w:val="57"/>
          <w:jc w:val="center"/>
        </w:trPr>
        <w:tc>
          <w:tcPr>
            <w:tcW w:w="160" w:type="pct"/>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8</w:t>
            </w:r>
          </w:p>
        </w:tc>
        <w:tc>
          <w:tcPr>
            <w:tcW w:w="153"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0 </w:t>
            </w:r>
          </w:p>
        </w:tc>
        <w:tc>
          <w:tcPr>
            <w:tcW w:w="179"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0 </w:t>
            </w:r>
          </w:p>
        </w:tc>
        <w:tc>
          <w:tcPr>
            <w:tcW w:w="126"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0</w:t>
            </w:r>
          </w:p>
        </w:tc>
        <w:tc>
          <w:tcPr>
            <w:tcW w:w="149"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0 </w:t>
            </w:r>
          </w:p>
        </w:tc>
        <w:tc>
          <w:tcPr>
            <w:tcW w:w="129" w:type="pct"/>
            <w:tcBorders>
              <w:lef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B</w:t>
            </w:r>
          </w:p>
        </w:tc>
        <w:tc>
          <w:tcPr>
            <w:tcW w:w="112"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r</w:t>
            </w:r>
          </w:p>
        </w:tc>
        <w:tc>
          <w:tcPr>
            <w:tcW w:w="168"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a</w:t>
            </w:r>
          </w:p>
        </w:tc>
        <w:tc>
          <w:tcPr>
            <w:tcW w:w="149"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t</w:t>
            </w:r>
          </w:p>
        </w:tc>
        <w:tc>
          <w:tcPr>
            <w:tcW w:w="132"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i</w:t>
            </w:r>
            <w:r w:rsidR="00687C63" w:rsidRPr="00687C63">
              <w:rPr>
                <w:rFonts w:cs="Arial"/>
                <w:sz w:val="18"/>
                <w:szCs w:val="18"/>
                <w:lang w:val="de-DE" w:eastAsia="sk-SK"/>
              </w:rPr>
              <w:t> </w:t>
            </w:r>
          </w:p>
        </w:tc>
        <w:tc>
          <w:tcPr>
            <w:tcW w:w="130"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s</w:t>
            </w:r>
          </w:p>
        </w:tc>
        <w:tc>
          <w:tcPr>
            <w:tcW w:w="142"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l</w:t>
            </w:r>
          </w:p>
        </w:tc>
        <w:tc>
          <w:tcPr>
            <w:tcW w:w="123"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a</w:t>
            </w:r>
          </w:p>
        </w:tc>
        <w:tc>
          <w:tcPr>
            <w:tcW w:w="156"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v</w:t>
            </w:r>
          </w:p>
        </w:tc>
        <w:tc>
          <w:tcPr>
            <w:tcW w:w="125" w:type="pct"/>
            <w:tcBorders>
              <w:top w:val="single" w:sz="4" w:space="0" w:color="auto"/>
              <w:left w:val="nil"/>
              <w:bottom w:val="single" w:sz="4" w:space="0" w:color="auto"/>
              <w:right w:val="single" w:sz="4" w:space="0" w:color="auto"/>
            </w:tcBorders>
            <w:noWrap/>
          </w:tcPr>
          <w:p w:rsidR="003A3E9A" w:rsidRPr="007E7D8B" w:rsidRDefault="00422AC5" w:rsidP="003A3E9A">
            <w:pPr>
              <w:rPr>
                <w:rFonts w:cs="Arial"/>
                <w:sz w:val="18"/>
                <w:szCs w:val="18"/>
                <w:lang w:val="de-DE" w:eastAsia="sk-SK"/>
              </w:rPr>
            </w:pPr>
            <w:r>
              <w:rPr>
                <w:rFonts w:cs="Arial"/>
                <w:sz w:val="18"/>
                <w:szCs w:val="18"/>
                <w:lang w:val="de-DE" w:eastAsia="sk-SK"/>
              </w:rPr>
              <w:t>a</w:t>
            </w:r>
          </w:p>
        </w:tc>
        <w:tc>
          <w:tcPr>
            <w:tcW w:w="125"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87"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4"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8"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2"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7"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3"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64"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91"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4"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84"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r>
      <w:tr w:rsidR="003A3E9A" w:rsidRPr="007E7D8B" w:rsidTr="00A629C9">
        <w:trPr>
          <w:trHeight w:val="57"/>
          <w:jc w:val="center"/>
        </w:trPr>
        <w:tc>
          <w:tcPr>
            <w:tcW w:w="5000" w:type="pct"/>
            <w:gridSpan w:val="61"/>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3A3E9A" w:rsidRPr="007E7D8B" w:rsidTr="00A629C9">
        <w:trPr>
          <w:trHeight w:val="57"/>
          <w:jc w:val="center"/>
        </w:trPr>
        <w:tc>
          <w:tcPr>
            <w:tcW w:w="5000" w:type="pct"/>
            <w:gridSpan w:val="61"/>
            <w:tcBorders>
              <w:top w:val="nil"/>
              <w:left w:val="nil"/>
              <w:bottom w:val="nil"/>
              <w:right w:val="nil"/>
            </w:tcBorders>
            <w:noWrap/>
          </w:tcPr>
          <w:p w:rsidR="003A3E9A" w:rsidRPr="007E7D8B" w:rsidRDefault="003A3E9A" w:rsidP="003A3E9A">
            <w:pPr>
              <w:rPr>
                <w:rFonts w:cs="Arial"/>
                <w:b/>
                <w:sz w:val="18"/>
                <w:szCs w:val="18"/>
                <w:lang w:val="de-DE" w:eastAsia="sk-SK"/>
              </w:rPr>
            </w:pPr>
          </w:p>
          <w:p w:rsidR="003A3E9A" w:rsidRPr="007E7D8B" w:rsidRDefault="00687C63" w:rsidP="00324EC5">
            <w:pPr>
              <w:rPr>
                <w:rFonts w:cs="Arial"/>
                <w:b/>
                <w:sz w:val="18"/>
                <w:szCs w:val="18"/>
                <w:lang w:val="de-DE" w:eastAsia="sk-SK"/>
              </w:rPr>
            </w:pPr>
            <w:r w:rsidRPr="00687C63">
              <w:rPr>
                <w:rFonts w:cs="Arial"/>
                <w:b/>
                <w:sz w:val="18"/>
                <w:szCs w:val="18"/>
                <w:lang w:val="de-DE" w:eastAsia="sk-SK"/>
              </w:rPr>
              <w:t xml:space="preserve">Telefonnummer                                    </w:t>
            </w:r>
            <w:r w:rsidR="007E7D8B">
              <w:rPr>
                <w:rFonts w:cs="Arial"/>
                <w:b/>
                <w:sz w:val="18"/>
                <w:szCs w:val="18"/>
                <w:lang w:val="de-DE" w:eastAsia="sk-SK"/>
              </w:rPr>
              <w:t xml:space="preserve">                         </w:t>
            </w:r>
            <w:r w:rsidRPr="00687C63">
              <w:rPr>
                <w:rFonts w:cs="Arial"/>
                <w:b/>
                <w:sz w:val="18"/>
                <w:szCs w:val="18"/>
                <w:lang w:val="de-DE" w:eastAsia="sk-SK"/>
              </w:rPr>
              <w:t>Faxnummer</w:t>
            </w:r>
          </w:p>
        </w:tc>
      </w:tr>
      <w:tr w:rsidR="00AC0D5A" w:rsidRPr="007E7D8B" w:rsidTr="00AC0D5A">
        <w:trPr>
          <w:trHeight w:val="57"/>
          <w:jc w:val="center"/>
        </w:trPr>
        <w:tc>
          <w:tcPr>
            <w:tcW w:w="160" w:type="pct"/>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0</w:t>
            </w:r>
          </w:p>
        </w:tc>
        <w:tc>
          <w:tcPr>
            <w:tcW w:w="153"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9"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tcBorders>
              <w:top w:val="nil"/>
              <w:left w:val="nil"/>
              <w:bottom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w:t>
            </w:r>
          </w:p>
        </w:tc>
        <w:tc>
          <w:tcPr>
            <w:tcW w:w="129" w:type="pct"/>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3"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0"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2"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68"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2"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30"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6" w:type="pct"/>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0</w:t>
            </w:r>
          </w:p>
        </w:tc>
        <w:tc>
          <w:tcPr>
            <w:tcW w:w="125"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5"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87" w:type="pct"/>
            <w:gridSpan w:val="2"/>
            <w:tcBorders>
              <w:top w:val="nil"/>
              <w:left w:val="nil"/>
              <w:bottom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w:t>
            </w:r>
          </w:p>
        </w:tc>
        <w:tc>
          <w:tcPr>
            <w:tcW w:w="114" w:type="pct"/>
            <w:gridSpan w:val="2"/>
            <w:tcBorders>
              <w:top w:val="single" w:sz="4" w:space="0" w:color="auto"/>
              <w:left w:val="single" w:sz="4" w:space="0" w:color="auto"/>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8"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52"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17" w:type="pct"/>
            <w:gridSpan w:val="2"/>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7"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26"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3" w:type="pct"/>
            <w:gridSpan w:val="3"/>
            <w:tcBorders>
              <w:top w:val="single" w:sz="4" w:space="0" w:color="auto"/>
              <w:left w:val="nil"/>
              <w:bottom w:val="single" w:sz="4" w:space="0" w:color="auto"/>
              <w:right w:val="single" w:sz="4" w:space="0" w:color="auto"/>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3" w:type="pct"/>
            <w:gridSpan w:val="2"/>
            <w:tcBorders>
              <w:top w:val="single" w:sz="4" w:space="0" w:color="auto"/>
              <w:left w:val="nil"/>
              <w:bottom w:val="single" w:sz="4" w:space="0" w:color="auto"/>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49" w:type="pct"/>
            <w:gridSpan w:val="2"/>
            <w:tcBorders>
              <w:top w:val="nil"/>
              <w:left w:val="single" w:sz="4" w:space="0" w:color="auto"/>
              <w:bottom w:val="nil"/>
              <w:right w:val="nil"/>
            </w:tcBorders>
            <w:noWrap/>
          </w:tcPr>
          <w:p w:rsidR="003A3E9A" w:rsidRPr="007E7D8B" w:rsidRDefault="00687C63" w:rsidP="003A3E9A">
            <w:pPr>
              <w:rPr>
                <w:rFonts w:cs="Arial"/>
                <w:sz w:val="18"/>
                <w:szCs w:val="18"/>
                <w:lang w:val="de-DE" w:eastAsia="sk-SK"/>
              </w:rPr>
            </w:pPr>
            <w:r w:rsidRPr="00687C63">
              <w:rPr>
                <w:rFonts w:cs="Arial"/>
                <w:sz w:val="18"/>
                <w:szCs w:val="18"/>
                <w:lang w:val="de-DE" w:eastAsia="sk-SK"/>
              </w:rPr>
              <w:t> </w:t>
            </w:r>
          </w:p>
        </w:tc>
        <w:tc>
          <w:tcPr>
            <w:tcW w:w="17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91"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B75EA7" w:rsidRPr="007E7D8B" w:rsidTr="00AC0D5A">
        <w:trPr>
          <w:trHeight w:val="57"/>
          <w:jc w:val="center"/>
        </w:trPr>
        <w:tc>
          <w:tcPr>
            <w:tcW w:w="1030" w:type="pct"/>
            <w:gridSpan w:val="7"/>
            <w:tcBorders>
              <w:top w:val="nil"/>
              <w:left w:val="nil"/>
              <w:bottom w:val="nil"/>
              <w:right w:val="nil"/>
            </w:tcBorders>
            <w:noWrap/>
          </w:tcPr>
          <w:p w:rsidR="003A3E9A" w:rsidRPr="007E7D8B" w:rsidRDefault="003A3E9A" w:rsidP="003A3E9A">
            <w:pPr>
              <w:rPr>
                <w:rFonts w:cs="Arial"/>
                <w:b/>
                <w:bCs/>
                <w:sz w:val="18"/>
                <w:szCs w:val="18"/>
                <w:lang w:val="de-DE" w:eastAsia="sk-SK"/>
              </w:rPr>
            </w:pPr>
          </w:p>
          <w:p w:rsidR="003A3E9A" w:rsidRPr="007E7D8B" w:rsidRDefault="003A3E9A" w:rsidP="003A3E9A">
            <w:pPr>
              <w:rPr>
                <w:rFonts w:cs="Arial"/>
                <w:b/>
                <w:bCs/>
                <w:sz w:val="18"/>
                <w:szCs w:val="18"/>
                <w:lang w:val="de-DE" w:eastAsia="sk-SK"/>
              </w:rPr>
            </w:pPr>
          </w:p>
          <w:p w:rsidR="003A3E9A" w:rsidRPr="007E7D8B" w:rsidRDefault="007E7D8B" w:rsidP="007E7D8B">
            <w:pPr>
              <w:rPr>
                <w:rFonts w:cs="Arial"/>
                <w:b/>
                <w:bCs/>
                <w:sz w:val="18"/>
                <w:szCs w:val="18"/>
                <w:lang w:val="de-DE" w:eastAsia="sk-SK"/>
              </w:rPr>
            </w:pPr>
            <w:r>
              <w:rPr>
                <w:rFonts w:cs="Arial"/>
                <w:b/>
                <w:bCs/>
                <w:sz w:val="18"/>
                <w:szCs w:val="18"/>
                <w:lang w:val="de-DE" w:eastAsia="sk-SK"/>
              </w:rPr>
              <w:t>E</w:t>
            </w:r>
            <w:r w:rsidR="00687C63" w:rsidRPr="00687C63">
              <w:rPr>
                <w:rFonts w:cs="Arial"/>
                <w:b/>
                <w:bCs/>
                <w:sz w:val="18"/>
                <w:szCs w:val="18"/>
                <w:lang w:val="de-DE" w:eastAsia="sk-SK"/>
              </w:rPr>
              <w:t>-Mail</w:t>
            </w: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8"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0"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2"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3"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5"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87"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8"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52"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17"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26"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3"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49"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77"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6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3"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3"/>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91"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134" w:type="pct"/>
            <w:gridSpan w:val="2"/>
            <w:tcBorders>
              <w:top w:val="nil"/>
              <w:left w:val="nil"/>
              <w:bottom w:val="nil"/>
              <w:right w:val="nil"/>
            </w:tcBorders>
            <w:noWrap/>
          </w:tcPr>
          <w:p w:rsidR="003A3E9A" w:rsidRPr="007E7D8B" w:rsidRDefault="003A3E9A" w:rsidP="003A3E9A">
            <w:pPr>
              <w:rPr>
                <w:rFonts w:cs="Arial"/>
                <w:sz w:val="18"/>
                <w:szCs w:val="18"/>
                <w:lang w:val="de-DE" w:eastAsia="sk-SK"/>
              </w:rPr>
            </w:pPr>
          </w:p>
        </w:tc>
        <w:tc>
          <w:tcPr>
            <w:tcW w:w="84" w:type="pct"/>
            <w:tcBorders>
              <w:top w:val="nil"/>
              <w:left w:val="nil"/>
              <w:bottom w:val="nil"/>
              <w:right w:val="nil"/>
            </w:tcBorders>
            <w:noWrap/>
          </w:tcPr>
          <w:p w:rsidR="003A3E9A" w:rsidRPr="007E7D8B" w:rsidRDefault="003A3E9A" w:rsidP="003A3E9A">
            <w:pPr>
              <w:rPr>
                <w:rFonts w:cs="Arial"/>
                <w:sz w:val="18"/>
                <w:szCs w:val="18"/>
                <w:lang w:val="de-DE" w:eastAsia="sk-SK"/>
              </w:rPr>
            </w:pPr>
          </w:p>
        </w:tc>
      </w:tr>
      <w:tr w:rsidR="00585B18" w:rsidRPr="00D72087" w:rsidTr="00AC0D5A">
        <w:trPr>
          <w:trHeight w:val="57"/>
          <w:jc w:val="center"/>
        </w:trPr>
        <w:tc>
          <w:tcPr>
            <w:tcW w:w="160" w:type="pct"/>
            <w:tcBorders>
              <w:top w:val="single" w:sz="4" w:space="0" w:color="auto"/>
              <w:left w:val="single" w:sz="4" w:space="0" w:color="auto"/>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53"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79"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49"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9"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0"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12"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68"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49"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2"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0"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42"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3"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56"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5"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5"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87"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14"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48"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52"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17"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26"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73"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43"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49"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77"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64"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3"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4" w:type="pct"/>
            <w:gridSpan w:val="3"/>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91"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134" w:type="pct"/>
            <w:gridSpan w:val="2"/>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c>
          <w:tcPr>
            <w:tcW w:w="84" w:type="pct"/>
            <w:tcBorders>
              <w:top w:val="single" w:sz="4" w:space="0" w:color="auto"/>
              <w:left w:val="nil"/>
              <w:bottom w:val="single" w:sz="4" w:space="0" w:color="auto"/>
              <w:right w:val="single" w:sz="4" w:space="0" w:color="auto"/>
            </w:tcBorders>
            <w:noWrap/>
          </w:tcPr>
          <w:p w:rsidR="003A3E9A" w:rsidRPr="00D72087" w:rsidRDefault="003A3E9A" w:rsidP="003A3E9A">
            <w:pPr>
              <w:rPr>
                <w:rFonts w:cs="Arial"/>
                <w:sz w:val="18"/>
                <w:szCs w:val="18"/>
                <w:lang w:eastAsia="sk-SK"/>
              </w:rPr>
            </w:pPr>
            <w:r w:rsidRPr="00003C63">
              <w:rPr>
                <w:rFonts w:cs="Arial"/>
                <w:sz w:val="18"/>
                <w:szCs w:val="18"/>
                <w:lang w:eastAsia="sk-SK"/>
              </w:rPr>
              <w:t> </w:t>
            </w:r>
          </w:p>
        </w:tc>
      </w:tr>
      <w:tr w:rsidR="00585B18" w:rsidRPr="00D72087" w:rsidTr="00AC0D5A">
        <w:trPr>
          <w:trHeight w:val="57"/>
          <w:jc w:val="center"/>
        </w:trPr>
        <w:tc>
          <w:tcPr>
            <w:tcW w:w="160" w:type="pct"/>
            <w:tcBorders>
              <w:top w:val="nil"/>
              <w:left w:val="nil"/>
              <w:bottom w:val="nil"/>
              <w:right w:val="nil"/>
            </w:tcBorders>
            <w:noWrap/>
          </w:tcPr>
          <w:p w:rsidR="003A3E9A" w:rsidRDefault="003A3E9A" w:rsidP="003A3E9A">
            <w:pPr>
              <w:rPr>
                <w:rFonts w:cs="Arial"/>
                <w:sz w:val="18"/>
                <w:szCs w:val="18"/>
                <w:lang w:eastAsia="sk-SK"/>
              </w:rPr>
            </w:pPr>
          </w:p>
          <w:p w:rsidR="003A3E9A" w:rsidRPr="00D72087" w:rsidRDefault="003A3E9A" w:rsidP="003A3E9A">
            <w:pPr>
              <w:rPr>
                <w:rFonts w:cs="Arial"/>
                <w:sz w:val="18"/>
                <w:szCs w:val="18"/>
                <w:lang w:eastAsia="sk-SK"/>
              </w:rPr>
            </w:pPr>
          </w:p>
        </w:tc>
        <w:tc>
          <w:tcPr>
            <w:tcW w:w="153"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79"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26"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49"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29"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33"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30"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12"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68"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49"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32"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30"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42"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23"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56"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25"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25"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26" w:type="pct"/>
            <w:tcBorders>
              <w:top w:val="nil"/>
              <w:left w:val="nil"/>
              <w:bottom w:val="nil"/>
              <w:right w:val="nil"/>
            </w:tcBorders>
            <w:noWrap/>
          </w:tcPr>
          <w:p w:rsidR="003A3E9A" w:rsidRPr="00D72087" w:rsidRDefault="003A3E9A" w:rsidP="003A3E9A">
            <w:pPr>
              <w:rPr>
                <w:rFonts w:cs="Arial"/>
                <w:sz w:val="18"/>
                <w:szCs w:val="18"/>
                <w:lang w:eastAsia="sk-SK"/>
              </w:rPr>
            </w:pPr>
          </w:p>
        </w:tc>
        <w:tc>
          <w:tcPr>
            <w:tcW w:w="187"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14"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48"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52"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17"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27"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26"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73"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43"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49"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77"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64"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33"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134" w:type="pct"/>
            <w:gridSpan w:val="3"/>
            <w:tcBorders>
              <w:top w:val="nil"/>
              <w:left w:val="nil"/>
              <w:bottom w:val="nil"/>
              <w:right w:val="nil"/>
            </w:tcBorders>
            <w:noWrap/>
          </w:tcPr>
          <w:p w:rsidR="003A3E9A" w:rsidRPr="00D72087" w:rsidRDefault="003A3E9A" w:rsidP="003A3E9A">
            <w:pPr>
              <w:rPr>
                <w:rFonts w:cs="Arial"/>
                <w:sz w:val="18"/>
                <w:szCs w:val="18"/>
                <w:lang w:eastAsia="sk-SK"/>
              </w:rPr>
            </w:pPr>
          </w:p>
        </w:tc>
        <w:tc>
          <w:tcPr>
            <w:tcW w:w="91"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134" w:type="pct"/>
            <w:gridSpan w:val="2"/>
            <w:tcBorders>
              <w:top w:val="nil"/>
              <w:left w:val="nil"/>
              <w:bottom w:val="nil"/>
              <w:right w:val="nil"/>
            </w:tcBorders>
            <w:noWrap/>
          </w:tcPr>
          <w:p w:rsidR="003A3E9A" w:rsidRPr="00D72087" w:rsidRDefault="003A3E9A" w:rsidP="003A3E9A">
            <w:pPr>
              <w:rPr>
                <w:rFonts w:cs="Arial"/>
                <w:sz w:val="18"/>
                <w:szCs w:val="18"/>
                <w:lang w:eastAsia="sk-SK"/>
              </w:rPr>
            </w:pPr>
          </w:p>
        </w:tc>
        <w:tc>
          <w:tcPr>
            <w:tcW w:w="84" w:type="pct"/>
            <w:tcBorders>
              <w:top w:val="nil"/>
              <w:left w:val="nil"/>
              <w:bottom w:val="nil"/>
              <w:right w:val="nil"/>
            </w:tcBorders>
            <w:noWrap/>
          </w:tcPr>
          <w:p w:rsidR="003A3E9A" w:rsidRPr="00D72087" w:rsidRDefault="003A3E9A" w:rsidP="003A3E9A">
            <w:pPr>
              <w:rPr>
                <w:rFonts w:cs="Arial"/>
                <w:sz w:val="18"/>
                <w:szCs w:val="18"/>
                <w:lang w:eastAsia="sk-SK"/>
              </w:rPr>
            </w:pPr>
          </w:p>
        </w:tc>
      </w:tr>
      <w:tr w:rsidR="003A3E9A" w:rsidRPr="00C564AD" w:rsidTr="00AC0D5A">
        <w:trPr>
          <w:trHeight w:val="850"/>
          <w:jc w:val="center"/>
        </w:trPr>
        <w:tc>
          <w:tcPr>
            <w:tcW w:w="1272" w:type="pct"/>
            <w:gridSpan w:val="9"/>
            <w:tcBorders>
              <w:top w:val="single" w:sz="4" w:space="0" w:color="auto"/>
              <w:left w:val="single" w:sz="4" w:space="0" w:color="auto"/>
              <w:bottom w:val="single" w:sz="4" w:space="0" w:color="auto"/>
              <w:right w:val="single" w:sz="4" w:space="0" w:color="000000"/>
            </w:tcBorders>
            <w:noWrap/>
          </w:tcPr>
          <w:p w:rsidR="003A3E9A" w:rsidRPr="00C564AD" w:rsidRDefault="00687C63" w:rsidP="003A3E9A">
            <w:pPr>
              <w:rPr>
                <w:rFonts w:cs="Arial"/>
                <w:sz w:val="18"/>
                <w:szCs w:val="18"/>
                <w:lang w:val="de-DE" w:eastAsia="sk-SK"/>
              </w:rPr>
            </w:pPr>
            <w:r w:rsidRPr="00687C63">
              <w:rPr>
                <w:rFonts w:cs="Arial"/>
                <w:sz w:val="18"/>
                <w:szCs w:val="18"/>
                <w:lang w:val="de-DE" w:eastAsia="sk-SK"/>
              </w:rPr>
              <w:t xml:space="preserve"> Erstellt am: </w:t>
            </w:r>
          </w:p>
          <w:p w:rsidR="003A3E9A" w:rsidRPr="00C564AD" w:rsidRDefault="003A3E9A" w:rsidP="003A3E9A">
            <w:pPr>
              <w:rPr>
                <w:rFonts w:cs="Arial"/>
                <w:sz w:val="18"/>
                <w:szCs w:val="18"/>
                <w:lang w:val="de-DE" w:eastAsia="sk-SK"/>
              </w:rPr>
            </w:pPr>
          </w:p>
          <w:p w:rsidR="003A3E9A" w:rsidRPr="00C564AD" w:rsidRDefault="00687C63" w:rsidP="00225988">
            <w:pPr>
              <w:jc w:val="center"/>
              <w:rPr>
                <w:rFonts w:cs="Arial"/>
                <w:sz w:val="18"/>
                <w:szCs w:val="18"/>
                <w:lang w:val="de-DE" w:eastAsia="sk-SK"/>
              </w:rPr>
            </w:pPr>
            <w:r w:rsidRPr="00687C63">
              <w:rPr>
                <w:rFonts w:cs="Arial"/>
                <w:sz w:val="18"/>
                <w:szCs w:val="18"/>
                <w:lang w:val="de-DE" w:eastAsia="sk-SK"/>
              </w:rPr>
              <w:t>15.2.</w:t>
            </w:r>
            <w:r w:rsidR="00225988" w:rsidRPr="00687C63">
              <w:rPr>
                <w:rFonts w:cs="Arial"/>
                <w:sz w:val="18"/>
                <w:szCs w:val="18"/>
                <w:lang w:val="de-DE" w:eastAsia="sk-SK"/>
              </w:rPr>
              <w:t>201</w:t>
            </w:r>
            <w:r w:rsidR="00171D95">
              <w:rPr>
                <w:rFonts w:cs="Arial"/>
                <w:sz w:val="18"/>
                <w:szCs w:val="18"/>
                <w:lang w:val="de-DE" w:eastAsia="sk-SK"/>
              </w:rPr>
              <w:t>4</w:t>
            </w:r>
          </w:p>
        </w:tc>
        <w:tc>
          <w:tcPr>
            <w:tcW w:w="1233" w:type="pct"/>
            <w:gridSpan w:val="9"/>
            <w:vMerge w:val="restart"/>
            <w:tcBorders>
              <w:top w:val="single" w:sz="4" w:space="0" w:color="auto"/>
              <w:left w:val="single" w:sz="4" w:space="0" w:color="auto"/>
              <w:right w:val="single" w:sz="4" w:space="0" w:color="000000"/>
            </w:tcBorders>
          </w:tcPr>
          <w:p w:rsidR="002F0FA2" w:rsidRDefault="00687C63">
            <w:pPr>
              <w:rPr>
                <w:rFonts w:cs="Arial"/>
                <w:sz w:val="18"/>
                <w:szCs w:val="18"/>
                <w:lang w:val="de-DE" w:eastAsia="sk-SK"/>
              </w:rPr>
            </w:pPr>
            <w:r w:rsidRPr="00687C63">
              <w:rPr>
                <w:rFonts w:cs="Arial"/>
                <w:sz w:val="18"/>
                <w:szCs w:val="18"/>
                <w:lang w:val="de-DE" w:eastAsia="sk-SK"/>
              </w:rPr>
              <w:t>Unterschrift der für die Buchführung verantwortlichen Person:</w:t>
            </w:r>
          </w:p>
        </w:tc>
        <w:tc>
          <w:tcPr>
            <w:tcW w:w="1216" w:type="pct"/>
            <w:gridSpan w:val="20"/>
            <w:vMerge w:val="restart"/>
            <w:tcBorders>
              <w:top w:val="single" w:sz="4" w:space="0" w:color="auto"/>
              <w:left w:val="single" w:sz="4" w:space="0" w:color="auto"/>
              <w:right w:val="single" w:sz="4" w:space="0" w:color="000000"/>
            </w:tcBorders>
          </w:tcPr>
          <w:p w:rsidR="002F0FA2" w:rsidRDefault="00687C63">
            <w:pPr>
              <w:rPr>
                <w:rFonts w:cs="Arial"/>
                <w:sz w:val="18"/>
                <w:szCs w:val="18"/>
                <w:lang w:val="de-DE" w:eastAsia="sk-SK"/>
              </w:rPr>
            </w:pPr>
            <w:r w:rsidRPr="00687C63">
              <w:rPr>
                <w:rFonts w:cs="Arial"/>
                <w:sz w:val="18"/>
                <w:szCs w:val="18"/>
                <w:lang w:val="de-DE" w:eastAsia="sk-SK"/>
              </w:rPr>
              <w:t>Unterschrift der für die Erstellung des Jahresabschlusses verantwortlichen Person:</w:t>
            </w:r>
          </w:p>
        </w:tc>
        <w:tc>
          <w:tcPr>
            <w:tcW w:w="1279" w:type="pct"/>
            <w:gridSpan w:val="23"/>
            <w:vMerge w:val="restart"/>
            <w:tcBorders>
              <w:top w:val="single" w:sz="4" w:space="0" w:color="auto"/>
              <w:left w:val="single" w:sz="4" w:space="0" w:color="auto"/>
              <w:right w:val="single" w:sz="4" w:space="0" w:color="000000"/>
            </w:tcBorders>
          </w:tcPr>
          <w:p w:rsidR="002F0FA2" w:rsidRDefault="00687C63">
            <w:pPr>
              <w:rPr>
                <w:rFonts w:cs="Arial"/>
                <w:sz w:val="18"/>
                <w:szCs w:val="18"/>
                <w:lang w:val="de-DE" w:eastAsia="sk-SK"/>
              </w:rPr>
            </w:pPr>
            <w:r w:rsidRPr="00687C63">
              <w:rPr>
                <w:rFonts w:cs="Arial"/>
                <w:sz w:val="18"/>
                <w:szCs w:val="18"/>
                <w:lang w:val="de-DE" w:eastAsia="sk-SK"/>
              </w:rPr>
              <w:t>Unterschrift des Mitglieds des statutar</w:t>
            </w:r>
            <w:r w:rsidR="006413AE">
              <w:rPr>
                <w:rFonts w:cs="Arial"/>
                <w:sz w:val="18"/>
                <w:szCs w:val="18"/>
                <w:lang w:val="de-DE" w:eastAsia="sk-SK"/>
              </w:rPr>
              <w:t>o</w:t>
            </w:r>
            <w:r w:rsidRPr="00687C63">
              <w:rPr>
                <w:rFonts w:cs="Arial"/>
                <w:sz w:val="18"/>
                <w:szCs w:val="18"/>
                <w:lang w:val="de-DE" w:eastAsia="sk-SK"/>
              </w:rPr>
              <w:t xml:space="preserve">rgans der Buchführungseinheit oder </w:t>
            </w:r>
            <w:r w:rsidR="006413AE">
              <w:rPr>
                <w:rFonts w:cs="Arial"/>
                <w:sz w:val="18"/>
                <w:szCs w:val="18"/>
                <w:lang w:val="de-DE" w:eastAsia="sk-SK"/>
              </w:rPr>
              <w:t>ein</w:t>
            </w:r>
            <w:r w:rsidRPr="00687C63">
              <w:rPr>
                <w:rFonts w:cs="Arial"/>
                <w:sz w:val="18"/>
                <w:szCs w:val="18"/>
                <w:lang w:val="de-DE" w:eastAsia="sk-SK"/>
              </w:rPr>
              <w:t>er natürlichen Person, die eine Buchführungseinheit ist:</w:t>
            </w:r>
          </w:p>
        </w:tc>
      </w:tr>
      <w:tr w:rsidR="003A3E9A" w:rsidRPr="00C564AD" w:rsidTr="00AC0D5A">
        <w:trPr>
          <w:trHeight w:val="848"/>
          <w:jc w:val="center"/>
        </w:trPr>
        <w:tc>
          <w:tcPr>
            <w:tcW w:w="1272" w:type="pct"/>
            <w:gridSpan w:val="9"/>
            <w:tcBorders>
              <w:top w:val="single" w:sz="4" w:space="0" w:color="auto"/>
              <w:left w:val="single" w:sz="4" w:space="0" w:color="auto"/>
              <w:bottom w:val="single" w:sz="4" w:space="0" w:color="auto"/>
              <w:right w:val="single" w:sz="4" w:space="0" w:color="000000"/>
            </w:tcBorders>
            <w:noWrap/>
          </w:tcPr>
          <w:p w:rsidR="003A3E9A" w:rsidRPr="00C564AD" w:rsidRDefault="00687C63" w:rsidP="003A3E9A">
            <w:pPr>
              <w:rPr>
                <w:rFonts w:cs="Arial"/>
                <w:sz w:val="18"/>
                <w:szCs w:val="18"/>
                <w:lang w:val="de-DE" w:eastAsia="sk-SK"/>
              </w:rPr>
            </w:pPr>
            <w:r w:rsidRPr="00687C63">
              <w:rPr>
                <w:rFonts w:cs="Arial"/>
                <w:sz w:val="18"/>
                <w:szCs w:val="18"/>
                <w:lang w:val="de-DE" w:eastAsia="sk-SK"/>
              </w:rPr>
              <w:t xml:space="preserve"> Festgestellt am:</w:t>
            </w:r>
          </w:p>
          <w:p w:rsidR="003A3E9A" w:rsidRPr="00C564AD" w:rsidRDefault="003A3E9A" w:rsidP="003A3E9A">
            <w:pPr>
              <w:rPr>
                <w:rFonts w:cs="Arial"/>
                <w:sz w:val="18"/>
                <w:szCs w:val="18"/>
                <w:lang w:val="de-DE" w:eastAsia="sk-SK"/>
              </w:rPr>
            </w:pPr>
          </w:p>
          <w:p w:rsidR="003A3E9A" w:rsidRPr="00C564AD" w:rsidRDefault="003A3E9A" w:rsidP="00225988">
            <w:pPr>
              <w:jc w:val="center"/>
              <w:rPr>
                <w:rFonts w:cs="Arial"/>
                <w:sz w:val="18"/>
                <w:szCs w:val="18"/>
                <w:lang w:val="de-DE" w:eastAsia="sk-SK"/>
              </w:rPr>
            </w:pPr>
          </w:p>
        </w:tc>
        <w:tc>
          <w:tcPr>
            <w:tcW w:w="1233" w:type="pct"/>
            <w:gridSpan w:val="9"/>
            <w:vMerge/>
            <w:tcBorders>
              <w:left w:val="single" w:sz="4" w:space="0" w:color="auto"/>
              <w:bottom w:val="single" w:sz="4" w:space="0" w:color="000000"/>
              <w:right w:val="single" w:sz="4" w:space="0" w:color="000000"/>
            </w:tcBorders>
          </w:tcPr>
          <w:p w:rsidR="003A3E9A" w:rsidRPr="00C564AD" w:rsidRDefault="003A3E9A" w:rsidP="003A3E9A">
            <w:pPr>
              <w:rPr>
                <w:rFonts w:cs="Arial"/>
                <w:sz w:val="18"/>
                <w:szCs w:val="18"/>
                <w:lang w:val="de-DE" w:eastAsia="sk-SK"/>
              </w:rPr>
            </w:pPr>
          </w:p>
        </w:tc>
        <w:tc>
          <w:tcPr>
            <w:tcW w:w="1216" w:type="pct"/>
            <w:gridSpan w:val="20"/>
            <w:vMerge/>
            <w:tcBorders>
              <w:left w:val="single" w:sz="4" w:space="0" w:color="auto"/>
              <w:bottom w:val="single" w:sz="4" w:space="0" w:color="000000"/>
              <w:right w:val="single" w:sz="4" w:space="0" w:color="000000"/>
            </w:tcBorders>
          </w:tcPr>
          <w:p w:rsidR="003A3E9A" w:rsidRPr="00C564AD" w:rsidRDefault="003A3E9A" w:rsidP="003A3E9A">
            <w:pPr>
              <w:rPr>
                <w:rFonts w:cs="Arial"/>
                <w:sz w:val="18"/>
                <w:szCs w:val="18"/>
                <w:lang w:val="de-DE" w:eastAsia="sk-SK"/>
              </w:rPr>
            </w:pPr>
          </w:p>
        </w:tc>
        <w:tc>
          <w:tcPr>
            <w:tcW w:w="1279" w:type="pct"/>
            <w:gridSpan w:val="23"/>
            <w:vMerge/>
            <w:tcBorders>
              <w:left w:val="single" w:sz="4" w:space="0" w:color="auto"/>
              <w:bottom w:val="single" w:sz="4" w:space="0" w:color="000000"/>
              <w:right w:val="single" w:sz="4" w:space="0" w:color="000000"/>
            </w:tcBorders>
          </w:tcPr>
          <w:p w:rsidR="003A3E9A" w:rsidRPr="00C564AD" w:rsidRDefault="003A3E9A" w:rsidP="003A3E9A">
            <w:pPr>
              <w:rPr>
                <w:rFonts w:cs="Arial"/>
                <w:sz w:val="18"/>
                <w:szCs w:val="18"/>
                <w:lang w:val="de-DE" w:eastAsia="sk-SK"/>
              </w:rPr>
            </w:pPr>
          </w:p>
        </w:tc>
      </w:tr>
    </w:tbl>
    <w:p w:rsidR="00AC0D5A" w:rsidRDefault="00AC0D5A" w:rsidP="00E95128">
      <w:pPr>
        <w:pStyle w:val="BodyText"/>
        <w:rPr>
          <w:lang w:val="de-DE"/>
        </w:rPr>
        <w:sectPr w:rsidR="00AC0D5A" w:rsidSect="00E95128">
          <w:headerReference w:type="default" r:id="rId18"/>
          <w:headerReference w:type="first" r:id="rId19"/>
          <w:footerReference w:type="first" r:id="rId20"/>
          <w:pgSz w:w="11906" w:h="16838" w:code="9"/>
          <w:pgMar w:top="1701" w:right="1021" w:bottom="1418" w:left="1673" w:header="675" w:footer="408" w:gutter="0"/>
          <w:cols w:space="708"/>
          <w:titlePg/>
          <w:docGrid w:linePitch="360"/>
        </w:sectPr>
      </w:pPr>
    </w:p>
    <w:p w:rsidR="00E95128" w:rsidRPr="00252083" w:rsidRDefault="00E95128" w:rsidP="00E95128">
      <w:pPr>
        <w:pStyle w:val="BodyText"/>
        <w:rPr>
          <w:lang w:val="de-DE"/>
        </w:rPr>
      </w:pPr>
    </w:p>
    <w:p w:rsidR="00E95128" w:rsidRPr="00252083" w:rsidRDefault="00E95128" w:rsidP="00E95128">
      <w:pPr>
        <w:pStyle w:val="Heading1"/>
        <w:rPr>
          <w:lang w:val="de-DE"/>
        </w:rPr>
      </w:pPr>
      <w:bookmarkStart w:id="0" w:name="_Toc530739894"/>
      <w:r w:rsidRPr="00252083">
        <w:rPr>
          <w:lang w:val="de-DE"/>
        </w:rPr>
        <w:lastRenderedPageBreak/>
        <w:t xml:space="preserve">InformATIONEN ÜBER DIE BUCHFÜHRUNGSEINHEIT </w:t>
      </w:r>
      <w:bookmarkEnd w:id="0"/>
    </w:p>
    <w:p w:rsidR="00E95128" w:rsidRPr="00252083" w:rsidRDefault="00E95128" w:rsidP="00E95128">
      <w:pPr>
        <w:pStyle w:val="BodyText"/>
        <w:rPr>
          <w:lang w:val="de-DE"/>
        </w:rPr>
      </w:pPr>
    </w:p>
    <w:p w:rsidR="00E95128" w:rsidRPr="00252083" w:rsidRDefault="003A3E9A" w:rsidP="00E95128">
      <w:pPr>
        <w:pStyle w:val="Heading2"/>
        <w:rPr>
          <w:lang w:val="de-DE"/>
        </w:rPr>
      </w:pPr>
      <w:bookmarkStart w:id="1" w:name="_Toc530739895"/>
      <w:r>
        <w:rPr>
          <w:lang w:val="de-DE"/>
        </w:rPr>
        <w:t>Gr</w:t>
      </w:r>
      <w:r w:rsidRPr="00252083">
        <w:rPr>
          <w:lang w:val="de-DE"/>
        </w:rPr>
        <w:t>ü</w:t>
      </w:r>
      <w:r>
        <w:rPr>
          <w:lang w:val="de-DE"/>
        </w:rPr>
        <w:t>ndung</w:t>
      </w:r>
      <w:r w:rsidR="00E95128" w:rsidRPr="00252083">
        <w:rPr>
          <w:lang w:val="de-DE"/>
        </w:rPr>
        <w:t xml:space="preserve"> der Gesellschaft </w:t>
      </w:r>
      <w:bookmarkEnd w:id="1"/>
    </w:p>
    <w:p w:rsidR="00E95128" w:rsidRPr="00252083" w:rsidRDefault="00E95128" w:rsidP="00E95128">
      <w:pPr>
        <w:pStyle w:val="BodyText"/>
        <w:rPr>
          <w:lang w:val="de-DE"/>
        </w:rPr>
      </w:pPr>
      <w:r w:rsidRPr="00252083">
        <w:rPr>
          <w:lang w:val="de-DE"/>
        </w:rPr>
        <w:t>Die Gesellschaft ABC Slovenská výroba, spol. s r.o. (im weiteren Text als „Gesellschaft“ bezeichnet) wurde am 21. Mai 1993 gegründet und am 3. Juli 1993 in das Handelsregister eingetragen (Handel</w:t>
      </w:r>
      <w:r>
        <w:rPr>
          <w:lang w:val="de-DE"/>
        </w:rPr>
        <w:t xml:space="preserve">sregister des Bezirksgerichtes </w:t>
      </w:r>
      <w:r w:rsidRPr="00252083">
        <w:rPr>
          <w:lang w:val="de-DE"/>
        </w:rPr>
        <w:t xml:space="preserve">in Bratislava, Abteilung s.r.o., Einlage Nr. XXXX/Z). </w:t>
      </w:r>
    </w:p>
    <w:p w:rsidR="00E95128" w:rsidRPr="00E72AC3" w:rsidRDefault="00E95128" w:rsidP="00E95128">
      <w:pPr>
        <w:rPr>
          <w:sz w:val="18"/>
          <w:szCs w:val="18"/>
          <w:lang w:val="de-DE"/>
        </w:rPr>
      </w:pPr>
    </w:p>
    <w:p w:rsidR="00E95128" w:rsidRPr="00252083" w:rsidRDefault="00E95128" w:rsidP="00E95128">
      <w:pPr>
        <w:pStyle w:val="Heading2"/>
        <w:rPr>
          <w:lang w:val="de-DE"/>
        </w:rPr>
      </w:pPr>
      <w:bookmarkStart w:id="2" w:name="_Toc530739896"/>
      <w:r w:rsidRPr="00252083">
        <w:rPr>
          <w:lang w:val="de-DE"/>
        </w:rPr>
        <w:t xml:space="preserve">Haupttätigkeiten der Gesellschaft sind: </w:t>
      </w:r>
      <w:bookmarkEnd w:id="2"/>
    </w:p>
    <w:p w:rsidR="00E95128" w:rsidRPr="00252083" w:rsidRDefault="00E95128" w:rsidP="00E95128">
      <w:pPr>
        <w:pStyle w:val="BodyText"/>
        <w:rPr>
          <w:lang w:val="de-DE"/>
        </w:rPr>
      </w:pPr>
      <w:r w:rsidRPr="00252083">
        <w:rPr>
          <w:lang w:val="de-DE"/>
        </w:rPr>
        <w:t xml:space="preserve">- Herstellung von elektrischen Motoren, </w:t>
      </w:r>
    </w:p>
    <w:p w:rsidR="00E95128" w:rsidRPr="00252083" w:rsidRDefault="00E95128" w:rsidP="00E95128">
      <w:pPr>
        <w:pStyle w:val="BodyText"/>
        <w:rPr>
          <w:lang w:val="de-DE"/>
        </w:rPr>
      </w:pPr>
      <w:r w:rsidRPr="00252083">
        <w:rPr>
          <w:lang w:val="de-DE"/>
        </w:rPr>
        <w:t xml:space="preserve">- Herstellung von Elektrizitätszählern, </w:t>
      </w:r>
    </w:p>
    <w:p w:rsidR="00E95128" w:rsidRPr="00252083" w:rsidRDefault="00E95128" w:rsidP="00E95128">
      <w:pPr>
        <w:pStyle w:val="BodyText"/>
        <w:rPr>
          <w:lang w:val="de-DE"/>
        </w:rPr>
      </w:pPr>
      <w:r w:rsidRPr="00252083">
        <w:rPr>
          <w:lang w:val="de-DE"/>
        </w:rPr>
        <w:t xml:space="preserve">- und die damit zusammenhängenden Dienstleistungen und der Kauf und Verkauf von Waren. </w:t>
      </w:r>
    </w:p>
    <w:p w:rsidR="00E95128" w:rsidRPr="00252083" w:rsidRDefault="00E95128" w:rsidP="00E95128">
      <w:pPr>
        <w:pStyle w:val="BodyText"/>
        <w:rPr>
          <w:lang w:val="de-DE"/>
        </w:rPr>
      </w:pPr>
    </w:p>
    <w:p w:rsidR="00E95128" w:rsidRPr="00C614EE" w:rsidRDefault="00E95128" w:rsidP="00E95128">
      <w:pPr>
        <w:pStyle w:val="Heading2"/>
        <w:rPr>
          <w:lang w:val="de-DE"/>
        </w:rPr>
      </w:pPr>
      <w:r w:rsidRPr="00C614EE">
        <w:rPr>
          <w:lang w:val="de-DE"/>
        </w:rPr>
        <w:t xml:space="preserve">Mitarbeiteranzahl  </w:t>
      </w:r>
    </w:p>
    <w:p w:rsidR="003A3E9A" w:rsidRDefault="00687C63" w:rsidP="003A3E9A">
      <w:pPr>
        <w:pStyle w:val="BodyText"/>
        <w:rPr>
          <w:lang w:val="de-DE"/>
        </w:rPr>
      </w:pPr>
      <w:r w:rsidRPr="00687C63">
        <w:rPr>
          <w:lang w:val="de-DE"/>
        </w:rPr>
        <w:t>Die Angaben über die Mitarbeiteranzahl für die laufende Buchungsperiode und für die unmittelbare Vorperiode sind in folgender Übersicht aufgeführt:</w:t>
      </w:r>
    </w:p>
    <w:p w:rsidR="00225988" w:rsidRDefault="00252994" w:rsidP="00225988">
      <w:pPr>
        <w:pStyle w:val="BodyText"/>
        <w:rPr>
          <w:i/>
          <w:szCs w:val="18"/>
          <w:u w:val="single"/>
        </w:rPr>
      </w:pPr>
      <w:r>
        <w:rPr>
          <w:i/>
          <w:szCs w:val="18"/>
          <w:u w:val="single"/>
        </w:rPr>
        <w:t>(</w:t>
      </w:r>
      <w:r w:rsidR="00C17A50">
        <w:rPr>
          <w:i/>
          <w:szCs w:val="18"/>
          <w:u w:val="single"/>
        </w:rPr>
        <w:t>Der Inhalt, die Anzahl der Zeilen und Spalten in der Tabelle dürfen nicht geändert werden, Diese Information ist zu löschen</w:t>
      </w:r>
      <w:r>
        <w:rPr>
          <w:i/>
          <w:szCs w:val="18"/>
          <w:u w:val="single"/>
        </w:rPr>
        <w:t>)</w:t>
      </w:r>
    </w:p>
    <w:p w:rsidR="00225988" w:rsidRPr="00C614EE" w:rsidRDefault="00225988" w:rsidP="003A3E9A">
      <w:pPr>
        <w:pStyle w:val="BodyText"/>
        <w:rPr>
          <w:lang w:val="de-DE"/>
        </w:rPr>
      </w:pPr>
    </w:p>
    <w:p w:rsidR="00E95128" w:rsidRPr="00C614EE" w:rsidRDefault="00E95128" w:rsidP="00E95128">
      <w:pPr>
        <w:pStyle w:val="BodyText"/>
        <w:rPr>
          <w:lang w:val="de-DE"/>
        </w:rPr>
      </w:pPr>
    </w:p>
    <w:bookmarkStart w:id="3" w:name="_MON_1410007235"/>
    <w:bookmarkEnd w:id="3"/>
    <w:p w:rsidR="003A3E9A" w:rsidRPr="003A3E9A" w:rsidRDefault="00171D95" w:rsidP="00E95128">
      <w:pPr>
        <w:pStyle w:val="BodyText"/>
      </w:pPr>
      <w:r>
        <w:object w:dxaOrig="9134"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75pt" o:ole="" o:preferrelative="f">
            <v:imagedata r:id="rId21" o:title=""/>
            <o:lock v:ext="edit" aspectratio="f"/>
          </v:shape>
          <o:OLEObject Type="Embed" ProgID="Excel.Sheet.12" ShapeID="_x0000_i1025" DrawAspect="Content" ObjectID="_1448991381" r:id="rId22"/>
        </w:object>
      </w:r>
    </w:p>
    <w:p w:rsidR="00E95128" w:rsidRPr="009D33FD" w:rsidRDefault="00E95128" w:rsidP="00E95128">
      <w:pPr>
        <w:pStyle w:val="Heading2"/>
        <w:rPr>
          <w:lang w:val="de-DE"/>
        </w:rPr>
      </w:pPr>
      <w:r w:rsidRPr="009D33FD">
        <w:rPr>
          <w:lang w:val="de-DE"/>
        </w:rPr>
        <w:t>Angaben über eine unbeschränkte Haftung</w:t>
      </w:r>
    </w:p>
    <w:p w:rsidR="00E95128" w:rsidRPr="009D33FD" w:rsidRDefault="00E95128" w:rsidP="00E95128">
      <w:pPr>
        <w:pStyle w:val="BodyText"/>
        <w:rPr>
          <w:lang w:val="de-DE"/>
        </w:rPr>
      </w:pPr>
      <w:r w:rsidRPr="009D33FD">
        <w:rPr>
          <w:lang w:val="de-DE"/>
        </w:rPr>
        <w:t>Die Gesellschaft ist kein unbeschränkt haftender Gesellschafter in anderen Gesellschaften gemäß dem § 56 Abs. 5 des Handelsgesetzbuches.</w:t>
      </w:r>
    </w:p>
    <w:p w:rsidR="00E95128" w:rsidRPr="009D33FD" w:rsidRDefault="00E95128" w:rsidP="00E95128">
      <w:pPr>
        <w:pStyle w:val="BodyText"/>
      </w:pPr>
    </w:p>
    <w:p w:rsidR="00E95128" w:rsidRPr="00486A6B" w:rsidRDefault="00E95128" w:rsidP="00956CBA">
      <w:pPr>
        <w:pStyle w:val="Heading2"/>
        <w:rPr>
          <w:lang w:val="de-DE"/>
        </w:rPr>
      </w:pPr>
      <w:r w:rsidRPr="00486A6B">
        <w:rPr>
          <w:lang w:val="de-DE"/>
        </w:rPr>
        <w:t xml:space="preserve">Rechtsgrundlage für die Erstellung des Jahresabschlusses </w:t>
      </w:r>
    </w:p>
    <w:p w:rsidR="00E95128" w:rsidRPr="000E1DDD" w:rsidRDefault="00E95128" w:rsidP="00956CBA">
      <w:pPr>
        <w:pStyle w:val="BodyText"/>
        <w:rPr>
          <w:lang w:val="de-DE"/>
        </w:rPr>
      </w:pPr>
      <w:r w:rsidRPr="00486A6B">
        <w:rPr>
          <w:lang w:val="de-DE"/>
        </w:rPr>
        <w:t xml:space="preserve">Der Jahresabschluss der Gesellschaft zum 31. Dezember </w:t>
      </w:r>
      <w:r w:rsidR="00225988">
        <w:rPr>
          <w:lang w:val="de-DE"/>
        </w:rPr>
        <w:t>201</w:t>
      </w:r>
      <w:r w:rsidR="00171D95">
        <w:rPr>
          <w:lang w:val="de-DE"/>
        </w:rPr>
        <w:t>3</w:t>
      </w:r>
      <w:r w:rsidR="00225988" w:rsidRPr="00486A6B">
        <w:rPr>
          <w:lang w:val="de-DE"/>
        </w:rPr>
        <w:t xml:space="preserve"> </w:t>
      </w:r>
      <w:r w:rsidRPr="00486A6B">
        <w:rPr>
          <w:lang w:val="de-DE"/>
        </w:rPr>
        <w:t>wurde als ordentlicher Jahresabschluss gemäß § 17 Abs. 6 des slowakischen Gesetzes Nr. 431/2002 GesSlg. über die Rechnungslegung für das Geschäftsjahr vom 1. Janua</w:t>
      </w:r>
      <w:r>
        <w:rPr>
          <w:lang w:val="de-DE"/>
        </w:rPr>
        <w:t xml:space="preserve">r </w:t>
      </w:r>
      <w:r w:rsidR="00225988">
        <w:rPr>
          <w:lang w:val="de-DE"/>
        </w:rPr>
        <w:t>201</w:t>
      </w:r>
      <w:r w:rsidR="00171D95">
        <w:rPr>
          <w:lang w:val="de-DE"/>
        </w:rPr>
        <w:t>3</w:t>
      </w:r>
      <w:r w:rsidR="00225988" w:rsidRPr="00486A6B">
        <w:rPr>
          <w:lang w:val="de-DE"/>
        </w:rPr>
        <w:t xml:space="preserve"> </w:t>
      </w:r>
      <w:r w:rsidRPr="00486A6B">
        <w:rPr>
          <w:lang w:val="de-DE"/>
        </w:rPr>
        <w:t xml:space="preserve">bis </w:t>
      </w:r>
      <w:r>
        <w:rPr>
          <w:lang w:val="de-DE"/>
        </w:rPr>
        <w:t xml:space="preserve">zum 31. Dezember </w:t>
      </w:r>
      <w:r w:rsidR="00225988">
        <w:rPr>
          <w:lang w:val="de-DE"/>
        </w:rPr>
        <w:t>201</w:t>
      </w:r>
      <w:r w:rsidR="00171D95">
        <w:rPr>
          <w:lang w:val="de-DE"/>
        </w:rPr>
        <w:t>3</w:t>
      </w:r>
      <w:r w:rsidR="00225988" w:rsidRPr="000E1DDD">
        <w:rPr>
          <w:lang w:val="de-DE"/>
        </w:rPr>
        <w:t xml:space="preserve"> </w:t>
      </w:r>
      <w:r w:rsidRPr="000E1DDD">
        <w:rPr>
          <w:lang w:val="de-DE"/>
        </w:rPr>
        <w:t xml:space="preserve">erstellt.  </w:t>
      </w:r>
    </w:p>
    <w:p w:rsidR="00E95128" w:rsidRPr="000E1DDD" w:rsidRDefault="00E95128" w:rsidP="00E95128">
      <w:pPr>
        <w:pStyle w:val="BodyText"/>
        <w:ind w:hanging="426"/>
        <w:rPr>
          <w:lang w:val="de-DE"/>
        </w:rPr>
      </w:pPr>
    </w:p>
    <w:p w:rsidR="00E95128" w:rsidRPr="000E1DDD" w:rsidRDefault="00E95128" w:rsidP="00E95128">
      <w:pPr>
        <w:pStyle w:val="Heading2"/>
        <w:rPr>
          <w:lang w:val="de-DE"/>
        </w:rPr>
      </w:pPr>
      <w:r w:rsidRPr="000E1DDD">
        <w:rPr>
          <w:lang w:val="de-DE"/>
        </w:rPr>
        <w:t xml:space="preserve">Datum der Feststellung des Vorjahresabschlusses </w:t>
      </w:r>
    </w:p>
    <w:p w:rsidR="00E95128" w:rsidRDefault="00E95128" w:rsidP="00956CBA">
      <w:pPr>
        <w:pStyle w:val="BodyText"/>
        <w:rPr>
          <w:lang w:val="de-DE"/>
        </w:rPr>
      </w:pPr>
      <w:r w:rsidRPr="000E1DDD">
        <w:rPr>
          <w:lang w:val="de-DE"/>
        </w:rPr>
        <w:t>Der Jahresabschluss der Ge</w:t>
      </w:r>
      <w:r>
        <w:rPr>
          <w:lang w:val="de-DE"/>
        </w:rPr>
        <w:t xml:space="preserve">sellschaft zum 31. Dezember </w:t>
      </w:r>
      <w:r w:rsidR="002913BF">
        <w:rPr>
          <w:lang w:val="de-DE"/>
        </w:rPr>
        <w:t>201</w:t>
      </w:r>
      <w:r w:rsidR="00171D95">
        <w:rPr>
          <w:lang w:val="de-DE"/>
        </w:rPr>
        <w:t>2</w:t>
      </w:r>
      <w:r w:rsidRPr="000E1DDD">
        <w:rPr>
          <w:lang w:val="de-DE"/>
        </w:rPr>
        <w:t xml:space="preserve">, für die vorhergehende Buchungsperiode, wurde durch die Gesellschafterversammlung </w:t>
      </w:r>
      <w:r>
        <w:rPr>
          <w:lang w:val="de-DE"/>
        </w:rPr>
        <w:t xml:space="preserve">der Gesellschaft am 20. Mai </w:t>
      </w:r>
      <w:r w:rsidR="002913BF">
        <w:rPr>
          <w:lang w:val="de-DE"/>
        </w:rPr>
        <w:t>201</w:t>
      </w:r>
      <w:r w:rsidR="00171D95">
        <w:rPr>
          <w:lang w:val="de-DE"/>
        </w:rPr>
        <w:t>3</w:t>
      </w:r>
      <w:r w:rsidR="002913BF" w:rsidRPr="000E1DDD">
        <w:rPr>
          <w:lang w:val="de-DE"/>
        </w:rPr>
        <w:t xml:space="preserve"> </w:t>
      </w:r>
      <w:r w:rsidRPr="000E1DDD">
        <w:rPr>
          <w:lang w:val="de-DE"/>
        </w:rPr>
        <w:t>festgestellt.</w:t>
      </w:r>
    </w:p>
    <w:p w:rsidR="00E95128" w:rsidRDefault="00E95128" w:rsidP="00E95128">
      <w:pPr>
        <w:pStyle w:val="BodyText"/>
        <w:ind w:left="360"/>
        <w:rPr>
          <w:lang w:val="de-DE"/>
        </w:rPr>
      </w:pPr>
    </w:p>
    <w:p w:rsidR="00E95128" w:rsidRPr="001B4F2D" w:rsidRDefault="00E95128" w:rsidP="00E95128">
      <w:pPr>
        <w:pStyle w:val="Heading2"/>
        <w:rPr>
          <w:lang w:val="de-DE"/>
        </w:rPr>
      </w:pPr>
      <w:bookmarkStart w:id="4" w:name="OLE_LINK13"/>
      <w:bookmarkStart w:id="5" w:name="OLE_LINK14"/>
      <w:r w:rsidRPr="001B4F2D">
        <w:rPr>
          <w:lang w:val="de-DE"/>
        </w:rPr>
        <w:t xml:space="preserve">Offenlegung des Jahresabschlusses für die Vorperiode </w:t>
      </w:r>
    </w:p>
    <w:p w:rsidR="00E95128" w:rsidRPr="001B4F2D" w:rsidRDefault="00E95128" w:rsidP="00E95128">
      <w:pPr>
        <w:pStyle w:val="BodyText"/>
        <w:rPr>
          <w:lang w:val="de-DE"/>
        </w:rPr>
      </w:pPr>
      <w:r w:rsidRPr="001B4F2D">
        <w:rPr>
          <w:lang w:val="de-DE"/>
        </w:rPr>
        <w:t xml:space="preserve">Der Jahresabschluss der Gesellschaft zum 31. Dezember </w:t>
      </w:r>
      <w:r>
        <w:rPr>
          <w:lang w:val="de-DE"/>
        </w:rPr>
        <w:t>201</w:t>
      </w:r>
      <w:r w:rsidR="00171D95">
        <w:rPr>
          <w:lang w:val="de-DE"/>
        </w:rPr>
        <w:t>2</w:t>
      </w:r>
      <w:r w:rsidRPr="001B4F2D">
        <w:rPr>
          <w:lang w:val="de-DE"/>
        </w:rPr>
        <w:t xml:space="preserve"> </w:t>
      </w:r>
      <w:r w:rsidR="006D4EC6">
        <w:rPr>
          <w:lang w:val="de-DE"/>
        </w:rPr>
        <w:t xml:space="preserve">wurde </w:t>
      </w:r>
      <w:r w:rsidRPr="001B4F2D">
        <w:rPr>
          <w:lang w:val="de-DE"/>
        </w:rPr>
        <w:t xml:space="preserve">gemeinsam mit dem Jahresbericht und dem Prüfungsbericht über die Prüfung des Jahresabschlusses zum 31. Dezember </w:t>
      </w:r>
      <w:r>
        <w:rPr>
          <w:lang w:val="de-DE"/>
        </w:rPr>
        <w:t>201</w:t>
      </w:r>
      <w:r w:rsidR="00171D95">
        <w:rPr>
          <w:lang w:val="de-DE"/>
        </w:rPr>
        <w:t>2</w:t>
      </w:r>
      <w:r w:rsidRPr="001B4F2D">
        <w:rPr>
          <w:lang w:val="de-DE"/>
        </w:rPr>
        <w:t xml:space="preserve"> am </w:t>
      </w:r>
      <w:r>
        <w:rPr>
          <w:lang w:val="de-DE"/>
        </w:rPr>
        <w:t>28</w:t>
      </w:r>
      <w:r w:rsidRPr="001B4F2D">
        <w:rPr>
          <w:lang w:val="de-DE"/>
        </w:rPr>
        <w:t xml:space="preserve">. Mai </w:t>
      </w:r>
      <w:r>
        <w:rPr>
          <w:lang w:val="de-DE"/>
        </w:rPr>
        <w:t>201</w:t>
      </w:r>
      <w:r w:rsidR="00171D95">
        <w:rPr>
          <w:lang w:val="de-DE"/>
        </w:rPr>
        <w:t>3</w:t>
      </w:r>
      <w:r w:rsidRPr="001B4F2D">
        <w:rPr>
          <w:lang w:val="de-DE"/>
        </w:rPr>
        <w:t xml:space="preserve"> in die Sammlung der Schriftstücke des Handelsregisters hinterlegt. Die Bilanz und die Gewinn- und Verlustrechnung für die Vorperiode wurden im </w:t>
      </w:r>
      <w:r>
        <w:rPr>
          <w:lang w:val="de-DE"/>
        </w:rPr>
        <w:t>Handelsanzeiger</w:t>
      </w:r>
      <w:r w:rsidRPr="001B4F2D">
        <w:rPr>
          <w:lang w:val="de-DE"/>
        </w:rPr>
        <w:t xml:space="preserve"> am 15. Juni </w:t>
      </w:r>
      <w:r w:rsidR="002913BF">
        <w:rPr>
          <w:lang w:val="de-DE"/>
        </w:rPr>
        <w:t>201</w:t>
      </w:r>
      <w:r w:rsidR="00171D95">
        <w:rPr>
          <w:lang w:val="de-DE"/>
        </w:rPr>
        <w:t>3</w:t>
      </w:r>
      <w:r w:rsidR="002913BF" w:rsidRPr="001B4F2D">
        <w:rPr>
          <w:lang w:val="de-DE"/>
        </w:rPr>
        <w:t xml:space="preserve"> </w:t>
      </w:r>
      <w:r w:rsidRPr="001B4F2D">
        <w:rPr>
          <w:lang w:val="de-DE"/>
        </w:rPr>
        <w:t xml:space="preserve">veröffentlicht. </w:t>
      </w:r>
    </w:p>
    <w:p w:rsidR="00E95128" w:rsidRPr="001B4F2D" w:rsidRDefault="00E95128" w:rsidP="00E95128">
      <w:pPr>
        <w:pStyle w:val="BodyText"/>
        <w:rPr>
          <w:lang w:val="de-DE"/>
        </w:rPr>
      </w:pPr>
    </w:p>
    <w:p w:rsidR="00E95128" w:rsidRPr="001B4F2D" w:rsidRDefault="00E95128" w:rsidP="00E95128">
      <w:pPr>
        <w:pStyle w:val="Heading2"/>
        <w:rPr>
          <w:lang w:val="de-DE"/>
        </w:rPr>
      </w:pPr>
      <w:r w:rsidRPr="001B4F2D">
        <w:rPr>
          <w:lang w:val="de-DE"/>
        </w:rPr>
        <w:t>Bestellung des Wirtschaftsprüfers</w:t>
      </w:r>
    </w:p>
    <w:p w:rsidR="00E95128" w:rsidRPr="0070396B" w:rsidRDefault="00E95128" w:rsidP="00E95128">
      <w:pPr>
        <w:pStyle w:val="BodyText"/>
        <w:rPr>
          <w:lang w:val="de-DE"/>
        </w:rPr>
      </w:pPr>
      <w:r w:rsidRPr="001B4F2D">
        <w:rPr>
          <w:lang w:val="de-DE"/>
        </w:rPr>
        <w:t xml:space="preserve">Die Gesellschafterversammlung hat am 20. Mai </w:t>
      </w:r>
      <w:r w:rsidR="002913BF">
        <w:rPr>
          <w:lang w:val="de-DE"/>
        </w:rPr>
        <w:t>201</w:t>
      </w:r>
      <w:r w:rsidR="00171D95">
        <w:rPr>
          <w:lang w:val="de-DE"/>
        </w:rPr>
        <w:t>3</w:t>
      </w:r>
      <w:r w:rsidR="002913BF" w:rsidRPr="001B4F2D">
        <w:rPr>
          <w:lang w:val="de-DE"/>
        </w:rPr>
        <w:t xml:space="preserve"> </w:t>
      </w:r>
      <w:r w:rsidRPr="001B4F2D">
        <w:rPr>
          <w:lang w:val="de-DE"/>
        </w:rPr>
        <w:t xml:space="preserve">die Gesellschaft XXX als Jahresabschlussprüfer für das Geschäftsjahr vom 1. Januar </w:t>
      </w:r>
      <w:r w:rsidR="002913BF">
        <w:rPr>
          <w:lang w:val="de-DE"/>
        </w:rPr>
        <w:t>201</w:t>
      </w:r>
      <w:r w:rsidR="00171D95">
        <w:rPr>
          <w:lang w:val="de-DE"/>
        </w:rPr>
        <w:t>3</w:t>
      </w:r>
      <w:r w:rsidR="002913BF" w:rsidRPr="001B4F2D">
        <w:rPr>
          <w:lang w:val="de-DE"/>
        </w:rPr>
        <w:t xml:space="preserve"> </w:t>
      </w:r>
      <w:r w:rsidRPr="001B4F2D">
        <w:rPr>
          <w:lang w:val="de-DE"/>
        </w:rPr>
        <w:t xml:space="preserve">bis zum 31. Dezember </w:t>
      </w:r>
      <w:r w:rsidR="002913BF">
        <w:rPr>
          <w:lang w:val="de-DE"/>
        </w:rPr>
        <w:t>201</w:t>
      </w:r>
      <w:r w:rsidR="00171D95">
        <w:rPr>
          <w:lang w:val="de-DE"/>
        </w:rPr>
        <w:t>3</w:t>
      </w:r>
      <w:r w:rsidR="002913BF" w:rsidRPr="001B4F2D">
        <w:rPr>
          <w:lang w:val="de-DE"/>
        </w:rPr>
        <w:t xml:space="preserve"> </w:t>
      </w:r>
      <w:r w:rsidRPr="001B4F2D">
        <w:rPr>
          <w:lang w:val="de-DE"/>
        </w:rPr>
        <w:t>bestellt.</w:t>
      </w:r>
      <w:r w:rsidRPr="0070396B">
        <w:rPr>
          <w:lang w:val="de-DE"/>
        </w:rPr>
        <w:t xml:space="preserve"> </w:t>
      </w:r>
    </w:p>
    <w:bookmarkEnd w:id="4"/>
    <w:bookmarkEnd w:id="5"/>
    <w:p w:rsidR="00E95128" w:rsidRPr="00AD4961" w:rsidRDefault="00E95128" w:rsidP="00E95128">
      <w:pPr>
        <w:pStyle w:val="BodyText"/>
        <w:ind w:left="360"/>
      </w:pPr>
    </w:p>
    <w:p w:rsidR="00E95128" w:rsidRPr="00AD4961" w:rsidRDefault="00E95128" w:rsidP="00E95128">
      <w:pPr>
        <w:pStyle w:val="BodyText"/>
      </w:pPr>
    </w:p>
    <w:p w:rsidR="00E95128" w:rsidRPr="00AD4961" w:rsidRDefault="00E95128" w:rsidP="00E95128">
      <w:pPr>
        <w:pStyle w:val="Heading1"/>
      </w:pPr>
      <w:bookmarkStart w:id="6" w:name="_Toc530739897"/>
      <w:r w:rsidRPr="00AD4961">
        <w:t xml:space="preserve">InformATIONEN ÜBER DIE ORGANE DER BUCHFÜHRUNGSEINHEIT </w:t>
      </w:r>
      <w:bookmarkEnd w:id="6"/>
    </w:p>
    <w:p w:rsidR="00992AB0" w:rsidRPr="00E95B69" w:rsidRDefault="00992AB0" w:rsidP="00992AB0">
      <w:pPr>
        <w:pStyle w:val="BodyText"/>
        <w:rPr>
          <w:u w:val="single"/>
          <w:lang w:val="de-DE"/>
        </w:rPr>
      </w:pPr>
      <w:r>
        <w:rPr>
          <w:i/>
          <w:szCs w:val="18"/>
          <w:u w:val="single"/>
          <w:lang w:val="de-DE"/>
        </w:rPr>
        <w:t>(</w:t>
      </w:r>
      <w:r w:rsidRPr="008C782B">
        <w:rPr>
          <w:i/>
          <w:szCs w:val="18"/>
          <w:u w:val="single"/>
          <w:lang w:val="de-DE"/>
        </w:rPr>
        <w:t>Nicht verpflichtende Angaben</w:t>
      </w:r>
      <w:r w:rsidRPr="008C782B">
        <w:rPr>
          <w:i/>
          <w:sz w:val="20"/>
          <w:u w:val="single"/>
          <w:lang w:val="de-DE"/>
        </w:rPr>
        <w:t>,</w:t>
      </w:r>
      <w:r>
        <w:rPr>
          <w:i/>
          <w:szCs w:val="18"/>
          <w:u w:val="single"/>
        </w:rPr>
        <w:t>diese Information ist zu löschen)</w:t>
      </w:r>
      <w:r w:rsidRPr="008C782B">
        <w:rPr>
          <w:u w:val="single"/>
          <w:lang w:val="de-DE"/>
        </w:rPr>
        <w:t>.</w:t>
      </w:r>
    </w:p>
    <w:p w:rsidR="00027877" w:rsidRDefault="00027877" w:rsidP="00027877">
      <w:pPr>
        <w:ind w:left="90"/>
      </w:pPr>
    </w:p>
    <w:p w:rsidR="00E95128" w:rsidRPr="000E1DDD" w:rsidRDefault="00E95128" w:rsidP="00E95128">
      <w:pPr>
        <w:pStyle w:val="BodyText"/>
        <w:rPr>
          <w:lang w:val="de-DE"/>
        </w:rPr>
      </w:pPr>
      <w:r w:rsidRPr="00AD4961">
        <w:t>Gesch</w:t>
      </w:r>
      <w:r w:rsidRPr="000E1DDD">
        <w:rPr>
          <w:lang w:val="de-DE"/>
        </w:rPr>
        <w:t>äftsführer</w:t>
      </w:r>
      <w:r w:rsidRPr="000E1DDD">
        <w:rPr>
          <w:lang w:val="de-DE"/>
        </w:rPr>
        <w:tab/>
        <w:t>Ing. Peter Petrovič</w:t>
      </w:r>
    </w:p>
    <w:p w:rsidR="00E95128" w:rsidRPr="000E1DDD" w:rsidRDefault="00E95128" w:rsidP="00E95128">
      <w:pPr>
        <w:pStyle w:val="BodyText"/>
        <w:rPr>
          <w:lang w:val="de-DE"/>
        </w:rPr>
      </w:pPr>
      <w:r w:rsidRPr="000E1DDD">
        <w:rPr>
          <w:lang w:val="de-DE"/>
        </w:rPr>
        <w:tab/>
      </w:r>
      <w:r w:rsidRPr="000E1DDD">
        <w:rPr>
          <w:lang w:val="de-DE"/>
        </w:rPr>
        <w:tab/>
      </w:r>
      <w:r w:rsidRPr="000E1DDD">
        <w:rPr>
          <w:lang w:val="de-DE"/>
        </w:rPr>
        <w:tab/>
        <w:t>Ing. Ján Jánsky</w:t>
      </w:r>
    </w:p>
    <w:p w:rsidR="00E95128" w:rsidRPr="000E1DDD" w:rsidRDefault="00E95128" w:rsidP="00E95128">
      <w:pPr>
        <w:pStyle w:val="BodyText"/>
        <w:rPr>
          <w:lang w:val="de-DE"/>
        </w:rPr>
      </w:pPr>
      <w:r w:rsidRPr="000E1DDD">
        <w:rPr>
          <w:lang w:val="de-DE"/>
        </w:rPr>
        <w:t>Aufsichtsrat</w:t>
      </w:r>
      <w:r w:rsidRPr="000E1DDD">
        <w:rPr>
          <w:lang w:val="de-DE"/>
        </w:rPr>
        <w:tab/>
      </w:r>
      <w:r w:rsidRPr="000E1DDD">
        <w:rPr>
          <w:lang w:val="de-DE"/>
        </w:rPr>
        <w:tab/>
        <w:t>Dr. Ralf Schumacher – Vorsitzender</w:t>
      </w:r>
    </w:p>
    <w:p w:rsidR="00E95128" w:rsidRPr="000E1DDD" w:rsidRDefault="00E95128" w:rsidP="00E95128">
      <w:pPr>
        <w:pStyle w:val="BodyText"/>
        <w:rPr>
          <w:lang w:val="de-DE"/>
        </w:rPr>
      </w:pPr>
      <w:r w:rsidRPr="000E1DDD">
        <w:rPr>
          <w:lang w:val="de-DE"/>
        </w:rPr>
        <w:tab/>
      </w:r>
      <w:r w:rsidRPr="000E1DDD">
        <w:rPr>
          <w:lang w:val="de-DE"/>
        </w:rPr>
        <w:tab/>
      </w:r>
      <w:r w:rsidRPr="000E1DDD">
        <w:rPr>
          <w:lang w:val="de-DE"/>
        </w:rPr>
        <w:tab/>
        <w:t xml:space="preserve">Dr. Hans Joachim Fischer (bis zum </w:t>
      </w:r>
      <w:r>
        <w:rPr>
          <w:lang w:val="de-DE"/>
        </w:rPr>
        <w:t>2</w:t>
      </w:r>
      <w:r w:rsidRPr="000E1DDD">
        <w:rPr>
          <w:lang w:val="de-DE"/>
        </w:rPr>
        <w:t xml:space="preserve">. Juni </w:t>
      </w:r>
      <w:r>
        <w:rPr>
          <w:lang w:val="de-DE"/>
        </w:rPr>
        <w:t>201</w:t>
      </w:r>
      <w:r w:rsidR="00171D95">
        <w:rPr>
          <w:lang w:val="de-DE"/>
        </w:rPr>
        <w:t>3</w:t>
      </w:r>
      <w:r w:rsidRPr="000E1DDD">
        <w:rPr>
          <w:lang w:val="de-DE"/>
        </w:rPr>
        <w:t>)</w:t>
      </w:r>
    </w:p>
    <w:p w:rsidR="00E95128" w:rsidRPr="000E1DDD" w:rsidRDefault="00E95128" w:rsidP="00E95128">
      <w:pPr>
        <w:pStyle w:val="BodyText"/>
        <w:rPr>
          <w:lang w:val="de-DE"/>
        </w:rPr>
      </w:pPr>
      <w:r w:rsidRPr="000E1DDD">
        <w:rPr>
          <w:lang w:val="de-DE"/>
        </w:rPr>
        <w:tab/>
      </w:r>
      <w:r w:rsidRPr="000E1DDD">
        <w:rPr>
          <w:lang w:val="de-DE"/>
        </w:rPr>
        <w:tab/>
      </w:r>
      <w:r w:rsidRPr="000E1DDD">
        <w:rPr>
          <w:lang w:val="de-DE"/>
        </w:rPr>
        <w:tab/>
        <w:t>Dipl</w:t>
      </w:r>
      <w:r>
        <w:rPr>
          <w:lang w:val="de-DE"/>
        </w:rPr>
        <w:t>-</w:t>
      </w:r>
      <w:r w:rsidRPr="000E1DDD">
        <w:rPr>
          <w:lang w:val="de-DE"/>
        </w:rPr>
        <w:t xml:space="preserve">Ing. Jürgen Neumann (ab dem 3. Juni </w:t>
      </w:r>
      <w:r>
        <w:rPr>
          <w:lang w:val="de-DE"/>
        </w:rPr>
        <w:t>201</w:t>
      </w:r>
      <w:r w:rsidR="00171D95">
        <w:rPr>
          <w:lang w:val="de-DE"/>
        </w:rPr>
        <w:t>3</w:t>
      </w:r>
      <w:r w:rsidRPr="000E1DDD">
        <w:rPr>
          <w:lang w:val="de-DE"/>
        </w:rPr>
        <w:t>)</w:t>
      </w:r>
    </w:p>
    <w:p w:rsidR="00E95128" w:rsidRPr="000E1DDD" w:rsidRDefault="00E95128" w:rsidP="00E95128">
      <w:pPr>
        <w:pStyle w:val="BodyText"/>
        <w:rPr>
          <w:lang w:val="de-DE"/>
        </w:rPr>
      </w:pPr>
      <w:r w:rsidRPr="000E1DDD">
        <w:rPr>
          <w:lang w:val="de-DE"/>
        </w:rPr>
        <w:tab/>
      </w:r>
      <w:r w:rsidRPr="000E1DDD">
        <w:rPr>
          <w:lang w:val="de-DE"/>
        </w:rPr>
        <w:tab/>
      </w:r>
      <w:r w:rsidRPr="000E1DDD">
        <w:rPr>
          <w:lang w:val="de-DE"/>
        </w:rPr>
        <w:tab/>
        <w:t>Prof. Martin Martinský</w:t>
      </w:r>
    </w:p>
    <w:p w:rsidR="00E95128" w:rsidRPr="000E1DDD" w:rsidRDefault="00E95128" w:rsidP="00E95128">
      <w:pPr>
        <w:pStyle w:val="BodyText"/>
        <w:rPr>
          <w:lang w:val="de-DE"/>
        </w:rPr>
      </w:pPr>
      <w:r w:rsidRPr="000E1DDD">
        <w:rPr>
          <w:lang w:val="de-DE"/>
        </w:rPr>
        <w:t>Prokurist</w:t>
      </w:r>
      <w:r w:rsidRPr="000E1DDD">
        <w:rPr>
          <w:lang w:val="de-DE"/>
        </w:rPr>
        <w:tab/>
      </w:r>
      <w:r w:rsidRPr="000E1DDD">
        <w:rPr>
          <w:lang w:val="de-DE"/>
        </w:rPr>
        <w:tab/>
        <w:t>Ing. Jozef Jozefský</w:t>
      </w:r>
    </w:p>
    <w:p w:rsidR="00E95128" w:rsidRPr="000E1DDD" w:rsidRDefault="00E95128" w:rsidP="00E95128">
      <w:pPr>
        <w:ind w:left="426"/>
        <w:rPr>
          <w:sz w:val="18"/>
          <w:lang w:val="de-DE"/>
        </w:rPr>
      </w:pPr>
      <w:r w:rsidRPr="000E1DDD">
        <w:rPr>
          <w:sz w:val="18"/>
          <w:lang w:val="de-DE"/>
        </w:rPr>
        <w:t>Präsident</w:t>
      </w:r>
      <w:r w:rsidRPr="000E1DDD">
        <w:rPr>
          <w:sz w:val="18"/>
          <w:lang w:val="de-DE"/>
        </w:rPr>
        <w:tab/>
      </w:r>
      <w:r w:rsidRPr="000E1DDD">
        <w:rPr>
          <w:sz w:val="18"/>
          <w:lang w:val="de-DE"/>
        </w:rPr>
        <w:tab/>
        <w:t>Prof. Karol Karolský</w:t>
      </w:r>
      <w:r w:rsidRPr="000E1DDD">
        <w:rPr>
          <w:sz w:val="18"/>
          <w:lang w:val="de-DE"/>
        </w:rPr>
        <w:tab/>
      </w:r>
      <w:r w:rsidRPr="000E1DDD">
        <w:rPr>
          <w:sz w:val="18"/>
          <w:lang w:val="de-DE"/>
        </w:rPr>
        <w:tab/>
      </w:r>
      <w:r w:rsidRPr="000E1DDD">
        <w:rPr>
          <w:sz w:val="18"/>
          <w:lang w:val="de-DE"/>
        </w:rPr>
        <w:tab/>
      </w:r>
      <w:r w:rsidRPr="000E1DDD">
        <w:rPr>
          <w:sz w:val="18"/>
          <w:lang w:val="de-DE"/>
        </w:rPr>
        <w:tab/>
      </w:r>
    </w:p>
    <w:p w:rsidR="00E95128" w:rsidRPr="00E72AC3" w:rsidRDefault="00E95128" w:rsidP="00E95128">
      <w:pPr>
        <w:rPr>
          <w:sz w:val="18"/>
          <w:szCs w:val="18"/>
          <w:lang w:val="de-DE"/>
        </w:rPr>
      </w:pPr>
    </w:p>
    <w:p w:rsidR="002862FC" w:rsidRPr="00E72AC3" w:rsidRDefault="002862FC" w:rsidP="00E95128">
      <w:pPr>
        <w:rPr>
          <w:sz w:val="18"/>
          <w:szCs w:val="18"/>
          <w:lang w:val="de-DE"/>
        </w:rPr>
      </w:pPr>
    </w:p>
    <w:p w:rsidR="00C614EE" w:rsidRPr="00E72AC3" w:rsidRDefault="00C614EE">
      <w:pPr>
        <w:spacing w:after="200" w:line="276" w:lineRule="auto"/>
        <w:rPr>
          <w:b/>
          <w:caps/>
          <w:sz w:val="18"/>
          <w:szCs w:val="18"/>
          <w:lang w:val="de-DE"/>
        </w:rPr>
      </w:pPr>
      <w:bookmarkStart w:id="7" w:name="_Toc530739898"/>
    </w:p>
    <w:p w:rsidR="00E95128" w:rsidRPr="004A5190" w:rsidRDefault="00E95128" w:rsidP="00E95128">
      <w:pPr>
        <w:pStyle w:val="Heading1"/>
        <w:rPr>
          <w:lang w:val="de-DE"/>
        </w:rPr>
      </w:pPr>
      <w:r w:rsidRPr="004A5190">
        <w:rPr>
          <w:lang w:val="de-DE"/>
        </w:rPr>
        <w:lastRenderedPageBreak/>
        <w:t xml:space="preserve">informATIONEN ÜBER DIE GESELLSCHAFTER DER BUCHFÜHRUNGSEINHEIT </w:t>
      </w:r>
      <w:bookmarkEnd w:id="7"/>
    </w:p>
    <w:p w:rsidR="00992AB0" w:rsidRPr="00E95B69" w:rsidRDefault="00992AB0" w:rsidP="00992AB0">
      <w:pPr>
        <w:pStyle w:val="BodyText"/>
        <w:rPr>
          <w:u w:val="single"/>
          <w:lang w:val="de-DE"/>
        </w:rPr>
      </w:pPr>
      <w:r>
        <w:rPr>
          <w:i/>
          <w:szCs w:val="18"/>
          <w:u w:val="single"/>
          <w:lang w:val="de-DE"/>
        </w:rPr>
        <w:t>(</w:t>
      </w:r>
      <w:r w:rsidRPr="008C782B">
        <w:rPr>
          <w:i/>
          <w:szCs w:val="18"/>
          <w:u w:val="single"/>
          <w:lang w:val="de-DE"/>
        </w:rPr>
        <w:t>Nicht verpflichtende Angaben</w:t>
      </w:r>
      <w:r w:rsidRPr="008C782B">
        <w:rPr>
          <w:i/>
          <w:sz w:val="20"/>
          <w:u w:val="single"/>
          <w:lang w:val="de-DE"/>
        </w:rPr>
        <w:t>,</w:t>
      </w:r>
      <w:r>
        <w:rPr>
          <w:i/>
          <w:szCs w:val="18"/>
          <w:u w:val="single"/>
        </w:rPr>
        <w:t>diese Information ist zu löschen)</w:t>
      </w:r>
      <w:r w:rsidRPr="008C782B">
        <w:rPr>
          <w:u w:val="single"/>
          <w:lang w:val="de-DE"/>
        </w:rPr>
        <w:t>.</w:t>
      </w:r>
    </w:p>
    <w:p w:rsidR="00992AB0" w:rsidRDefault="00992AB0" w:rsidP="003A3E9A">
      <w:pPr>
        <w:pStyle w:val="BodyText"/>
        <w:rPr>
          <w:lang w:val="de-DE"/>
        </w:rPr>
      </w:pPr>
    </w:p>
    <w:p w:rsidR="003A3E9A" w:rsidRPr="004A5190" w:rsidRDefault="003A3E9A" w:rsidP="003A3E9A">
      <w:pPr>
        <w:pStyle w:val="BodyText"/>
        <w:rPr>
          <w:lang w:val="de-DE"/>
        </w:rPr>
      </w:pPr>
      <w:r>
        <w:rPr>
          <w:lang w:val="de-DE"/>
        </w:rPr>
        <w:t xml:space="preserve">Am 1. März </w:t>
      </w:r>
      <w:r w:rsidR="002913BF">
        <w:rPr>
          <w:lang w:val="de-DE"/>
        </w:rPr>
        <w:t>201</w:t>
      </w:r>
      <w:r w:rsidR="00171D95">
        <w:rPr>
          <w:lang w:val="de-DE"/>
        </w:rPr>
        <w:t>3</w:t>
      </w:r>
      <w:r w:rsidR="002913BF" w:rsidRPr="004A5190">
        <w:rPr>
          <w:lang w:val="de-DE"/>
        </w:rPr>
        <w:t xml:space="preserve"> </w:t>
      </w:r>
      <w:r w:rsidRPr="004A5190">
        <w:rPr>
          <w:lang w:val="de-DE"/>
        </w:rPr>
        <w:t xml:space="preserve">hat die Gesellschaft ABC Produktion GmbH, Berlin die Anteile von sonstigen Gesellschaftern gekauft. Sie ist somit zum </w:t>
      </w:r>
      <w:r w:rsidR="00D753DD">
        <w:rPr>
          <w:lang w:val="de-DE"/>
        </w:rPr>
        <w:t>alleinigen</w:t>
      </w:r>
      <w:r w:rsidR="00D753DD" w:rsidRPr="004A5190">
        <w:rPr>
          <w:lang w:val="de-DE"/>
        </w:rPr>
        <w:t xml:space="preserve"> </w:t>
      </w:r>
      <w:r w:rsidRPr="004A5190">
        <w:rPr>
          <w:lang w:val="de-DE"/>
        </w:rPr>
        <w:t xml:space="preserve">Gesellschafter der Gesellschaft geworden. Anschließend hat sie das gezeichnete Kapital um </w:t>
      </w:r>
      <w:r>
        <w:rPr>
          <w:lang w:val="de-DE"/>
        </w:rPr>
        <w:t>EUR</w:t>
      </w:r>
      <w:r w:rsidRPr="004A5190">
        <w:rPr>
          <w:lang w:val="de-DE"/>
        </w:rPr>
        <w:t xml:space="preserve"> </w:t>
      </w:r>
      <w:r>
        <w:t>1 327 757</w:t>
      </w:r>
      <w:r w:rsidRPr="009D33FD">
        <w:rPr>
          <w:lang w:val="de-DE"/>
        </w:rPr>
        <w:t xml:space="preserve"> </w:t>
      </w:r>
      <w:r w:rsidRPr="004A5190">
        <w:rPr>
          <w:lang w:val="de-DE"/>
        </w:rPr>
        <w:t xml:space="preserve">auf </w:t>
      </w:r>
      <w:r>
        <w:rPr>
          <w:lang w:val="de-DE"/>
        </w:rPr>
        <w:t>EUR</w:t>
      </w:r>
      <w:r w:rsidRPr="004A5190">
        <w:rPr>
          <w:lang w:val="de-DE"/>
        </w:rPr>
        <w:t xml:space="preserve"> </w:t>
      </w:r>
      <w:r>
        <w:t xml:space="preserve">2 233 951 </w:t>
      </w:r>
      <w:r w:rsidRPr="004A5190">
        <w:rPr>
          <w:lang w:val="de-DE"/>
        </w:rPr>
        <w:t>erhöht</w:t>
      </w:r>
      <w:r>
        <w:rPr>
          <w:lang w:val="de-DE"/>
        </w:rPr>
        <w:t>.</w:t>
      </w:r>
      <w:r w:rsidRPr="004A5190">
        <w:rPr>
          <w:lang w:val="de-DE"/>
        </w:rPr>
        <w:t xml:space="preserve"> </w:t>
      </w:r>
      <w:r w:rsidR="002D2122">
        <w:rPr>
          <w:lang w:val="de-DE"/>
        </w:rPr>
        <w:t xml:space="preserve">Die </w:t>
      </w:r>
      <w:r w:rsidRPr="002C5AF1">
        <w:t>Gesellschafterstruktur</w:t>
      </w:r>
      <w:r w:rsidRPr="002C5AF1">
        <w:rPr>
          <w:lang w:val="de-DE"/>
        </w:rPr>
        <w:t xml:space="preserve"> zum 31. Dezember </w:t>
      </w:r>
      <w:r w:rsidR="002913BF" w:rsidRPr="002C5AF1">
        <w:rPr>
          <w:lang w:val="de-DE"/>
        </w:rPr>
        <w:t>201</w:t>
      </w:r>
      <w:r w:rsidR="00171D95">
        <w:rPr>
          <w:lang w:val="de-DE"/>
        </w:rPr>
        <w:t>3</w:t>
      </w:r>
      <w:r w:rsidR="002913BF" w:rsidRPr="002C5AF1">
        <w:rPr>
          <w:lang w:val="de-DE"/>
        </w:rPr>
        <w:t xml:space="preserve"> </w:t>
      </w:r>
      <w:r w:rsidRPr="002C5AF1">
        <w:rPr>
          <w:lang w:val="de-DE"/>
        </w:rPr>
        <w:t>ist wie folgt:</w:t>
      </w:r>
      <w:r w:rsidRPr="004A5190">
        <w:rPr>
          <w:lang w:val="de-DE"/>
        </w:rPr>
        <w:t xml:space="preserve"> </w:t>
      </w:r>
    </w:p>
    <w:p w:rsidR="003A3E9A" w:rsidRDefault="003A3E9A" w:rsidP="00E95128">
      <w:pPr>
        <w:pStyle w:val="BodyText"/>
        <w:rPr>
          <w:lang w:val="de-DE"/>
        </w:rPr>
      </w:pPr>
    </w:p>
    <w:bookmarkStart w:id="8" w:name="_MON_1411989173"/>
    <w:bookmarkEnd w:id="8"/>
    <w:p w:rsidR="003A3E9A" w:rsidRDefault="00204FCF" w:rsidP="00E95128">
      <w:pPr>
        <w:pStyle w:val="BodyText"/>
      </w:pPr>
      <w:r>
        <w:object w:dxaOrig="9311" w:dyaOrig="2818">
          <v:shape id="_x0000_i1026" type="#_x0000_t75" style="width:438.75pt;height:147.75pt" o:ole="" o:preferrelative="f">
            <v:imagedata r:id="rId23" o:title=""/>
            <o:lock v:ext="edit" aspectratio="f"/>
          </v:shape>
          <o:OLEObject Type="Embed" ProgID="Excel.Sheet.12" ShapeID="_x0000_i1026" DrawAspect="Content" ObjectID="_1448991382" r:id="rId24"/>
        </w:object>
      </w:r>
    </w:p>
    <w:p w:rsidR="003A3E9A" w:rsidRDefault="003A3E9A" w:rsidP="00E95128">
      <w:pPr>
        <w:pStyle w:val="BodyText"/>
        <w:rPr>
          <w:lang w:val="de-DE"/>
        </w:rPr>
      </w:pPr>
    </w:p>
    <w:p w:rsidR="003A3E9A" w:rsidRDefault="00E95128" w:rsidP="00E95128">
      <w:pPr>
        <w:pStyle w:val="BodyText"/>
        <w:rPr>
          <w:lang w:val="de-DE"/>
        </w:rPr>
      </w:pPr>
      <w:r w:rsidRPr="004708FE">
        <w:rPr>
          <w:lang w:val="de-DE"/>
        </w:rPr>
        <w:t xml:space="preserve">Bis zum 1. März </w:t>
      </w:r>
      <w:r w:rsidR="002913BF">
        <w:rPr>
          <w:lang w:val="de-DE"/>
        </w:rPr>
        <w:t>201</w:t>
      </w:r>
      <w:r w:rsidR="00171D95">
        <w:rPr>
          <w:lang w:val="de-DE"/>
        </w:rPr>
        <w:t>3</w:t>
      </w:r>
      <w:r w:rsidR="002913BF" w:rsidRPr="004708FE">
        <w:rPr>
          <w:lang w:val="de-DE"/>
        </w:rPr>
        <w:t xml:space="preserve"> </w:t>
      </w:r>
      <w:r w:rsidRPr="004708FE">
        <w:rPr>
          <w:lang w:val="de-DE"/>
        </w:rPr>
        <w:t>gab es folgende Gesellschafterstruktur:</w:t>
      </w:r>
      <w:r>
        <w:rPr>
          <w:lang w:val="de-DE"/>
        </w:rPr>
        <w:t xml:space="preserve"> </w:t>
      </w:r>
    </w:p>
    <w:p w:rsidR="00E95128" w:rsidRPr="008B1BAB" w:rsidRDefault="00E95128" w:rsidP="00E95128">
      <w:pPr>
        <w:pStyle w:val="BodyText"/>
        <w:rPr>
          <w:lang w:val="de-DE"/>
        </w:rPr>
      </w:pPr>
    </w:p>
    <w:bookmarkStart w:id="9" w:name="_MON_1410010267"/>
    <w:bookmarkEnd w:id="9"/>
    <w:p w:rsidR="00D91BEC" w:rsidRDefault="00171D95" w:rsidP="00E95128">
      <w:pPr>
        <w:ind w:left="426"/>
      </w:pPr>
      <w:r>
        <w:object w:dxaOrig="9148" w:dyaOrig="3511">
          <v:shape id="_x0000_i1027" type="#_x0000_t75" style="width:438.75pt;height:186.75pt" o:ole="" o:preferrelative="f">
            <v:imagedata r:id="rId25" o:title=""/>
            <o:lock v:ext="edit" aspectratio="f"/>
          </v:shape>
          <o:OLEObject Type="Embed" ProgID="Excel.Sheet.12" ShapeID="_x0000_i1027" DrawAspect="Content" ObjectID="_1448991383" r:id="rId26"/>
        </w:object>
      </w:r>
    </w:p>
    <w:p w:rsidR="008B1BAB" w:rsidRDefault="008B1BAB" w:rsidP="00E95128">
      <w:pPr>
        <w:ind w:left="426"/>
      </w:pPr>
    </w:p>
    <w:p w:rsidR="00160AAA" w:rsidRPr="004A5190" w:rsidRDefault="00160AAA" w:rsidP="00160AAA">
      <w:pPr>
        <w:pStyle w:val="BodyText"/>
        <w:rPr>
          <w:lang w:val="de-DE"/>
        </w:rPr>
      </w:pPr>
      <w:r w:rsidRPr="004A5190">
        <w:rPr>
          <w:lang w:val="de-DE"/>
        </w:rPr>
        <w:t>Die Änderung der Gesellschafter sowie die Erhöhung des gezeichneten Kapitals wurd</w:t>
      </w:r>
      <w:r w:rsidRPr="005273A0">
        <w:rPr>
          <w:lang w:val="de-DE"/>
        </w:rPr>
        <w:t>e</w:t>
      </w:r>
      <w:r>
        <w:rPr>
          <w:lang w:val="de-DE"/>
        </w:rPr>
        <w:t xml:space="preserve"> bereits zum 31. Dezember </w:t>
      </w:r>
      <w:r w:rsidR="004376B0">
        <w:rPr>
          <w:lang w:val="de-DE"/>
        </w:rPr>
        <w:t>201</w:t>
      </w:r>
      <w:r w:rsidR="00171D95">
        <w:rPr>
          <w:lang w:val="de-DE"/>
        </w:rPr>
        <w:t>3</w:t>
      </w:r>
      <w:r w:rsidR="004376B0" w:rsidRPr="004A5190">
        <w:rPr>
          <w:lang w:val="de-DE"/>
        </w:rPr>
        <w:t xml:space="preserve"> </w:t>
      </w:r>
      <w:r w:rsidRPr="004A5190">
        <w:rPr>
          <w:lang w:val="de-DE"/>
        </w:rPr>
        <w:t xml:space="preserve">in das Handelsregister eingetragen. </w:t>
      </w:r>
    </w:p>
    <w:p w:rsidR="00160AAA" w:rsidRPr="004A5190" w:rsidRDefault="00160AAA" w:rsidP="00160AAA">
      <w:pPr>
        <w:pStyle w:val="BodyText"/>
        <w:rPr>
          <w:lang w:val="de-DE"/>
        </w:rPr>
      </w:pPr>
    </w:p>
    <w:p w:rsidR="00160AAA" w:rsidRPr="004A5190" w:rsidRDefault="00160AAA" w:rsidP="00160AAA">
      <w:pPr>
        <w:pStyle w:val="Heading1"/>
        <w:rPr>
          <w:lang w:val="de-DE"/>
        </w:rPr>
      </w:pPr>
      <w:r w:rsidRPr="004A5190">
        <w:rPr>
          <w:lang w:val="de-DE"/>
        </w:rPr>
        <w:t xml:space="preserve">InformATIONEN ÜBER DEN KONSOLIDIERUNGSKREIS </w:t>
      </w:r>
    </w:p>
    <w:p w:rsidR="00160AAA" w:rsidRPr="004A5190" w:rsidRDefault="00160AAA" w:rsidP="00160AAA">
      <w:pPr>
        <w:pStyle w:val="BodyText"/>
        <w:rPr>
          <w:lang w:val="de-DE"/>
        </w:rPr>
      </w:pPr>
    </w:p>
    <w:p w:rsidR="00160AAA" w:rsidRDefault="00160AAA" w:rsidP="00160AAA">
      <w:pPr>
        <w:pStyle w:val="BodyText"/>
        <w:ind w:hanging="426"/>
        <w:rPr>
          <w:lang w:val="de-DE"/>
        </w:rPr>
      </w:pPr>
      <w:r w:rsidRPr="004A5190">
        <w:rPr>
          <w:b/>
          <w:lang w:val="de-DE"/>
        </w:rPr>
        <w:tab/>
      </w:r>
      <w:r w:rsidRPr="004A5190">
        <w:rPr>
          <w:lang w:val="de-DE"/>
        </w:rPr>
        <w:t xml:space="preserve">Die Gesellschaft wird in den konsolidierten Abschluss der Gesellschaft ABC Produktion GmbH, Lindenstr. 1, D-99998 Berlin einbezogen, und diese wird wiederum in den konsolidierten Abschluss des Konzerns ABC einbezogen. </w:t>
      </w:r>
      <w:r w:rsidRPr="00734D33">
        <w:rPr>
          <w:lang w:val="de-DE"/>
        </w:rPr>
        <w:t>Den konsolidierten Abschluss des Konzerns</w:t>
      </w:r>
      <w:r w:rsidRPr="00D9380E">
        <w:rPr>
          <w:color w:val="008000"/>
          <w:lang w:val="de-DE"/>
        </w:rPr>
        <w:t xml:space="preserve"> </w:t>
      </w:r>
      <w:r w:rsidRPr="004A5190">
        <w:rPr>
          <w:lang w:val="de-DE"/>
        </w:rPr>
        <w:t xml:space="preserve">ABC erstellt die Gesellschaft ABC Holding AG, Motorenstr. 10, D-99999, </w:t>
      </w:r>
      <w:r w:rsidRPr="00757462">
        <w:rPr>
          <w:lang w:val="de-DE"/>
        </w:rPr>
        <w:t xml:space="preserve">München. Diese konsolidierten Abschlüsse können auch direkt beim Sitz der erwähnten Gesellschaften, oder beim Sitz der Gesellschaft ABC Slovenská výroba spol. s r.o. in Bratislava eingeholt werden. </w:t>
      </w:r>
      <w:r w:rsidRPr="009D33FD">
        <w:rPr>
          <w:lang w:val="de-DE"/>
        </w:rPr>
        <w:t>Die Adresse des Registergerichts, das das Handelsregister führt, in dem die konsolidierten Abschlüsse hinterlegt sind, ist Hauptstrasse 102/40, D-99999 München.</w:t>
      </w:r>
    </w:p>
    <w:p w:rsidR="004E3686" w:rsidRDefault="004E3686" w:rsidP="00160AAA">
      <w:pPr>
        <w:pStyle w:val="BodyText"/>
        <w:ind w:hanging="426"/>
        <w:rPr>
          <w:lang w:val="de-DE"/>
        </w:rPr>
      </w:pPr>
    </w:p>
    <w:p w:rsidR="00160AAA" w:rsidRPr="004A5190" w:rsidRDefault="00902E41" w:rsidP="00160AAA">
      <w:pPr>
        <w:pStyle w:val="BodyText"/>
        <w:rPr>
          <w:lang w:val="de-DE"/>
        </w:rPr>
      </w:pPr>
      <w:r w:rsidRPr="00087F65">
        <w:rPr>
          <w:lang w:val="de-DE"/>
        </w:rPr>
        <w:t>Die Gesellschaft hat eine Ausnahme von der Pflicht zur Erstellung des konsolidierten Abschlu</w:t>
      </w:r>
      <w:r w:rsidR="00031658">
        <w:rPr>
          <w:lang w:val="de-DE"/>
        </w:rPr>
        <w:t xml:space="preserve">sses und des konsolidierten Jahresberichtes gemäß dem § 22 Abs. 8 des Rechnungslegungsgesetzes geltend gemacht: Ihre Muttergesellschaft ABC Produktion GmbH, Berlin </w:t>
      </w:r>
      <w:r w:rsidR="009A1811" w:rsidRPr="009A1811">
        <w:rPr>
          <w:lang w:val="de-DE"/>
        </w:rPr>
        <w:t>besitzt einen Anteil von 100 % an der Gesellschaft und erstellt ihren konsolidierten Abschluss nach den IFRS, wie sie in der EU anzuwenden sind. In diesen konsolidierten Abschluss wird die Gesellschaft sowie alle ihre Tochtergesellschaften einbezogen.</w:t>
      </w:r>
    </w:p>
    <w:p w:rsidR="00160AAA" w:rsidRPr="004A5190" w:rsidRDefault="00C614EE" w:rsidP="008B1BAB">
      <w:pPr>
        <w:pStyle w:val="Heading1"/>
        <w:rPr>
          <w:lang w:val="de-DE"/>
        </w:rPr>
      </w:pPr>
      <w:bookmarkStart w:id="10" w:name="_Toc530739899"/>
      <w:r>
        <w:rPr>
          <w:lang w:val="de-DE"/>
        </w:rPr>
        <w:br w:type="page"/>
      </w:r>
      <w:r w:rsidR="00160AAA" w:rsidRPr="004A5190">
        <w:rPr>
          <w:lang w:val="de-DE"/>
        </w:rPr>
        <w:lastRenderedPageBreak/>
        <w:t xml:space="preserve">InformATIONEN ÜBER </w:t>
      </w:r>
      <w:r w:rsidR="00204FCF">
        <w:rPr>
          <w:lang w:val="de-DE"/>
        </w:rPr>
        <w:t>rechnungslegungs</w:t>
      </w:r>
      <w:r w:rsidR="00160AAA" w:rsidRPr="004A5190">
        <w:rPr>
          <w:lang w:val="de-DE"/>
        </w:rPr>
        <w:t xml:space="preserve">GRUNDSÄTZE UND </w:t>
      </w:r>
      <w:r w:rsidR="00204FCF">
        <w:rPr>
          <w:lang w:val="de-DE"/>
        </w:rPr>
        <w:t>rechnungslegungs</w:t>
      </w:r>
      <w:r w:rsidR="00160AAA" w:rsidRPr="004A5190">
        <w:rPr>
          <w:lang w:val="de-DE"/>
        </w:rPr>
        <w:t xml:space="preserve">METHODEN </w:t>
      </w:r>
      <w:bookmarkEnd w:id="10"/>
    </w:p>
    <w:p w:rsidR="00160AAA" w:rsidRPr="004A5190" w:rsidRDefault="00160AAA" w:rsidP="00160AAA">
      <w:pPr>
        <w:pStyle w:val="BodyText"/>
        <w:rPr>
          <w:lang w:val="de-DE"/>
        </w:rPr>
      </w:pPr>
    </w:p>
    <w:p w:rsidR="00160AAA" w:rsidRPr="004A5190" w:rsidRDefault="00160AAA" w:rsidP="00160AAA">
      <w:pPr>
        <w:pStyle w:val="Pismenka"/>
        <w:rPr>
          <w:lang w:val="de-DE"/>
        </w:rPr>
      </w:pPr>
      <w:r w:rsidRPr="004A5190">
        <w:rPr>
          <w:lang w:val="de-DE"/>
        </w:rPr>
        <w:t>Basis für die Erstellung des Jahresabschlusses</w:t>
      </w:r>
    </w:p>
    <w:p w:rsidR="00160AAA" w:rsidRPr="004A5190" w:rsidRDefault="00160AAA" w:rsidP="00160AAA">
      <w:pPr>
        <w:pStyle w:val="BodyText"/>
        <w:ind w:left="450"/>
        <w:rPr>
          <w:lang w:val="de-DE"/>
        </w:rPr>
      </w:pPr>
      <w:r w:rsidRPr="004A5190">
        <w:rPr>
          <w:lang w:val="de-DE"/>
        </w:rPr>
        <w:t>Der Jahresabschluss wurde unter der Voraussetzung</w:t>
      </w:r>
      <w:r w:rsidR="00854558">
        <w:rPr>
          <w:lang w:val="de-DE"/>
        </w:rPr>
        <w:t xml:space="preserve"> erstellt, dass die Gesellschaft ihre</w:t>
      </w:r>
      <w:r w:rsidR="00854558" w:rsidRPr="00854558">
        <w:rPr>
          <w:lang w:val="de-DE"/>
        </w:rPr>
        <w:t xml:space="preserve"> </w:t>
      </w:r>
      <w:r w:rsidR="00854558" w:rsidRPr="004A5190">
        <w:rPr>
          <w:lang w:val="de-DE"/>
        </w:rPr>
        <w:t>Geschäftstätigkeit</w:t>
      </w:r>
      <w:r w:rsidR="00854558">
        <w:rPr>
          <w:lang w:val="de-DE"/>
        </w:rPr>
        <w:t xml:space="preserve"> ununterbrochen fortführen wird </w:t>
      </w:r>
      <w:r w:rsidRPr="004A5190">
        <w:rPr>
          <w:lang w:val="de-DE"/>
        </w:rPr>
        <w:t xml:space="preserve">(going concern). </w:t>
      </w:r>
    </w:p>
    <w:p w:rsidR="00160AAA" w:rsidRPr="002619C3" w:rsidRDefault="00160AAA" w:rsidP="00160AAA">
      <w:pPr>
        <w:pStyle w:val="BodyText"/>
        <w:ind w:left="450"/>
        <w:rPr>
          <w:lang w:val="de-DE"/>
        </w:rPr>
      </w:pPr>
    </w:p>
    <w:p w:rsidR="00A11912" w:rsidRDefault="00160AAA">
      <w:pPr>
        <w:pStyle w:val="BodyText"/>
        <w:ind w:left="450"/>
        <w:rPr>
          <w:lang w:val="de-DE"/>
        </w:rPr>
      </w:pPr>
      <w:r w:rsidRPr="00734D33">
        <w:rPr>
          <w:lang w:val="de-DE"/>
        </w:rPr>
        <w:t xml:space="preserve">Die </w:t>
      </w:r>
      <w:r w:rsidR="00204FCF">
        <w:rPr>
          <w:lang w:val="de-DE"/>
        </w:rPr>
        <w:t>Rechnungslegung</w:t>
      </w:r>
      <w:r w:rsidRPr="00204FCF">
        <w:rPr>
          <w:lang w:val="de-DE"/>
        </w:rPr>
        <w:t>smethoden</w:t>
      </w:r>
      <w:r w:rsidRPr="00734D33">
        <w:rPr>
          <w:lang w:val="de-DE"/>
        </w:rPr>
        <w:t xml:space="preserve"> und allgemeine </w:t>
      </w:r>
      <w:r w:rsidR="00204FCF">
        <w:rPr>
          <w:lang w:val="de-DE"/>
        </w:rPr>
        <w:t>Rechnungslegun</w:t>
      </w:r>
      <w:r w:rsidRPr="00204FCF">
        <w:rPr>
          <w:lang w:val="de-DE"/>
        </w:rPr>
        <w:t>gsgrundsätze</w:t>
      </w:r>
      <w:r w:rsidRPr="00734D33">
        <w:rPr>
          <w:lang w:val="de-DE"/>
        </w:rPr>
        <w:t xml:space="preserve"> w</w:t>
      </w:r>
      <w:r>
        <w:rPr>
          <w:lang w:val="de-DE"/>
        </w:rPr>
        <w:t>u</w:t>
      </w:r>
      <w:r w:rsidRPr="00734D33">
        <w:rPr>
          <w:lang w:val="de-DE"/>
        </w:rPr>
        <w:t xml:space="preserve">rden von der Gesellschaft </w:t>
      </w:r>
      <w:r w:rsidRPr="00BF52D9">
        <w:rPr>
          <w:lang w:val="de-DE"/>
        </w:rPr>
        <w:t xml:space="preserve">konsistent </w:t>
      </w:r>
      <w:r w:rsidR="00C17A50">
        <w:rPr>
          <w:lang w:val="de-DE"/>
        </w:rPr>
        <w:t>angewendet</w:t>
      </w:r>
      <w:r w:rsidR="00171D95">
        <w:rPr>
          <w:lang w:val="de-DE"/>
        </w:rPr>
        <w:t>.</w:t>
      </w:r>
    </w:p>
    <w:p w:rsidR="00992AB0" w:rsidRDefault="00992AB0">
      <w:pPr>
        <w:pStyle w:val="BodyText"/>
        <w:ind w:left="450"/>
        <w:rPr>
          <w:lang w:val="de-DE"/>
        </w:rPr>
      </w:pPr>
    </w:p>
    <w:p w:rsidR="00992AB0" w:rsidRDefault="00027877">
      <w:pPr>
        <w:pStyle w:val="BodyText"/>
        <w:ind w:left="450"/>
        <w:rPr>
          <w:lang w:val="de-DE"/>
        </w:rPr>
      </w:pPr>
      <w:r w:rsidRPr="00DB33C6">
        <w:rPr>
          <w:lang w:val="de-DE"/>
        </w:rPr>
        <w:t>In der Buchungsperiode 2013 hat die Gesellschaft keine</w:t>
      </w:r>
      <w:r w:rsidR="00525A16" w:rsidRPr="00DB33C6">
        <w:rPr>
          <w:lang w:val="de-DE"/>
        </w:rPr>
        <w:t xml:space="preserve"> </w:t>
      </w:r>
      <w:r w:rsidRPr="00DB33C6">
        <w:rPr>
          <w:lang w:val="de-DE"/>
        </w:rPr>
        <w:t>Korrekt</w:t>
      </w:r>
      <w:r w:rsidR="00525A16" w:rsidRPr="00DB33C6">
        <w:rPr>
          <w:lang w:val="de-DE"/>
        </w:rPr>
        <w:t>uren</w:t>
      </w:r>
      <w:r w:rsidRPr="00DB33C6">
        <w:rPr>
          <w:lang w:val="de-DE"/>
        </w:rPr>
        <w:t xml:space="preserve"> von</w:t>
      </w:r>
      <w:r w:rsidR="00525A16" w:rsidRPr="00DB33C6">
        <w:rPr>
          <w:lang w:val="de-DE"/>
        </w:rPr>
        <w:t xml:space="preserve"> </w:t>
      </w:r>
      <w:r w:rsidR="0025303E" w:rsidRPr="00DB33C6">
        <w:rPr>
          <w:lang w:val="de-DE"/>
        </w:rPr>
        <w:t xml:space="preserve">wesentlichen </w:t>
      </w:r>
      <w:r w:rsidRPr="00DB33C6">
        <w:rPr>
          <w:lang w:val="de-DE"/>
        </w:rPr>
        <w:t xml:space="preserve">Fehlern </w:t>
      </w:r>
      <w:r w:rsidR="00B16AF1" w:rsidRPr="00DB33C6">
        <w:rPr>
          <w:lang w:val="de-DE"/>
        </w:rPr>
        <w:t xml:space="preserve">aus </w:t>
      </w:r>
      <w:r w:rsidRPr="00DB33C6">
        <w:rPr>
          <w:lang w:val="de-DE"/>
        </w:rPr>
        <w:t>vor</w:t>
      </w:r>
      <w:r w:rsidR="00B16AF1" w:rsidRPr="00DB33C6">
        <w:rPr>
          <w:lang w:val="de-DE"/>
        </w:rPr>
        <w:t>herigen</w:t>
      </w:r>
      <w:r w:rsidRPr="00DB33C6">
        <w:rPr>
          <w:lang w:val="de-DE"/>
        </w:rPr>
        <w:t xml:space="preserve"> Buchungsperioden vorgenommen.</w:t>
      </w:r>
    </w:p>
    <w:p w:rsidR="00087F65" w:rsidRPr="00CA1B1A" w:rsidRDefault="00087F65" w:rsidP="004E3686">
      <w:pPr>
        <w:pStyle w:val="BodyText"/>
      </w:pPr>
    </w:p>
    <w:p w:rsidR="00160AAA" w:rsidRPr="00CA1B1A" w:rsidRDefault="00C17A50" w:rsidP="00160AAA">
      <w:pPr>
        <w:pStyle w:val="Pismenka"/>
        <w:rPr>
          <w:lang w:val="de-DE"/>
        </w:rPr>
      </w:pPr>
      <w:r>
        <w:rPr>
          <w:lang w:val="de-DE"/>
        </w:rPr>
        <w:t xml:space="preserve">Langfristige immaterielle Vermögensgegenstände und Sachanlagen </w:t>
      </w:r>
    </w:p>
    <w:p w:rsidR="00160AAA" w:rsidRPr="00596866" w:rsidRDefault="00160AAA" w:rsidP="00160AAA">
      <w:pPr>
        <w:pStyle w:val="BodyText"/>
        <w:rPr>
          <w:szCs w:val="18"/>
          <w:lang w:val="de-DE"/>
        </w:rPr>
      </w:pPr>
      <w:r w:rsidRPr="00596866">
        <w:rPr>
          <w:szCs w:val="18"/>
          <w:lang w:val="de-DE"/>
        </w:rPr>
        <w:t xml:space="preserve">Eingekauftes langfristiges Vermögen wird zu </w:t>
      </w:r>
      <w:r w:rsidR="00D753DD">
        <w:rPr>
          <w:szCs w:val="18"/>
          <w:lang w:val="de-DE"/>
        </w:rPr>
        <w:t xml:space="preserve">den </w:t>
      </w:r>
      <w:r w:rsidRPr="00596866">
        <w:rPr>
          <w:szCs w:val="18"/>
          <w:lang w:val="de-DE"/>
        </w:rPr>
        <w:t xml:space="preserve">Anschaffungskosten inkl. </w:t>
      </w:r>
      <w:r w:rsidR="00D753DD">
        <w:rPr>
          <w:szCs w:val="18"/>
          <w:lang w:val="de-DE"/>
        </w:rPr>
        <w:t xml:space="preserve">der </w:t>
      </w:r>
      <w:r w:rsidRPr="00596866">
        <w:rPr>
          <w:szCs w:val="18"/>
          <w:lang w:val="de-DE"/>
        </w:rPr>
        <w:t xml:space="preserve">Anschaffungsnebenkosten (Zoll, Transport, Montage, Versicherungsprämien, u.ä.) bewertet. </w:t>
      </w:r>
    </w:p>
    <w:p w:rsidR="00160AAA" w:rsidRPr="00596866" w:rsidRDefault="00160AAA" w:rsidP="00160AAA">
      <w:pPr>
        <w:pStyle w:val="BodyText"/>
        <w:rPr>
          <w:szCs w:val="18"/>
          <w:lang w:val="de-DE"/>
        </w:rPr>
      </w:pPr>
    </w:p>
    <w:p w:rsidR="00160AAA" w:rsidRPr="00596866" w:rsidRDefault="00160AAA" w:rsidP="00160AAA">
      <w:pPr>
        <w:pStyle w:val="BodyText"/>
        <w:rPr>
          <w:szCs w:val="18"/>
          <w:lang w:val="de-DE"/>
        </w:rPr>
      </w:pPr>
      <w:r w:rsidRPr="00596866">
        <w:rPr>
          <w:szCs w:val="18"/>
          <w:lang w:val="de-DE"/>
        </w:rPr>
        <w:t>Bestandteile des Anschaffungspreises sind weder Fremdkapital</w:t>
      </w:r>
      <w:r w:rsidR="00204FCF">
        <w:rPr>
          <w:szCs w:val="18"/>
          <w:lang w:val="de-DE"/>
        </w:rPr>
        <w:t>zinsen</w:t>
      </w:r>
      <w:r w:rsidRPr="00596866">
        <w:rPr>
          <w:szCs w:val="18"/>
          <w:lang w:val="de-DE"/>
        </w:rPr>
        <w:t xml:space="preserve"> noch realisierte Kursdifferenzen, die bis zum Zeitpunkt der Inbetriebnahme der Sachanlagen entstanden sind.</w:t>
      </w:r>
    </w:p>
    <w:p w:rsidR="00160AAA" w:rsidRPr="00596866" w:rsidRDefault="00160AAA" w:rsidP="00160AAA">
      <w:pPr>
        <w:pStyle w:val="BodyText"/>
        <w:rPr>
          <w:szCs w:val="18"/>
          <w:lang w:val="de-DE"/>
        </w:rPr>
      </w:pPr>
    </w:p>
    <w:p w:rsidR="00160AAA" w:rsidRPr="00596866" w:rsidRDefault="00D1702A" w:rsidP="00160AAA">
      <w:pPr>
        <w:pStyle w:val="BodyText"/>
        <w:rPr>
          <w:lang w:val="de-DE"/>
        </w:rPr>
      </w:pPr>
      <w:r>
        <w:rPr>
          <w:lang w:val="de-DE"/>
        </w:rPr>
        <w:t>D</w:t>
      </w:r>
      <w:r w:rsidR="00160AAA" w:rsidRPr="00596866">
        <w:rPr>
          <w:lang w:val="de-DE"/>
        </w:rPr>
        <w:t>er Anschaffungspreis langfristiger immaterieller Vermögensgegenst</w:t>
      </w:r>
      <w:r w:rsidR="00160AAA" w:rsidRPr="00596866">
        <w:t>ände</w:t>
      </w:r>
      <w:r w:rsidRPr="00D1702A">
        <w:rPr>
          <w:lang w:val="de-DE"/>
        </w:rPr>
        <w:t xml:space="preserve"> </w:t>
      </w:r>
      <w:r w:rsidRPr="00596866">
        <w:rPr>
          <w:lang w:val="de-DE"/>
        </w:rPr>
        <w:t>enthält</w:t>
      </w:r>
      <w:r w:rsidR="00160AAA" w:rsidRPr="00596866">
        <w:rPr>
          <w:lang w:val="de-DE"/>
        </w:rPr>
        <w:t xml:space="preserve"> keine aktivierten Fremdkapital</w:t>
      </w:r>
      <w:r w:rsidR="00204FCF">
        <w:rPr>
          <w:lang w:val="de-DE"/>
        </w:rPr>
        <w:t>zinsen</w:t>
      </w:r>
      <w:r w:rsidR="00160AAA" w:rsidRPr="00596866">
        <w:rPr>
          <w:lang w:val="de-DE"/>
        </w:rPr>
        <w:t>, die vor der Inbetriebnahme des Vermögensgegenstands entstanden sind.</w:t>
      </w:r>
    </w:p>
    <w:p w:rsidR="00160AAA" w:rsidRPr="00596866" w:rsidRDefault="00160AAA" w:rsidP="00160AAA">
      <w:pPr>
        <w:pStyle w:val="BodyText"/>
        <w:rPr>
          <w:lang w:val="de-DE"/>
        </w:rPr>
      </w:pPr>
    </w:p>
    <w:p w:rsidR="00160AAA" w:rsidRPr="00747A4B" w:rsidRDefault="00160AAA" w:rsidP="00160AAA">
      <w:pPr>
        <w:pStyle w:val="BodyText"/>
        <w:rPr>
          <w:lang w:val="de-DE"/>
        </w:rPr>
      </w:pPr>
      <w:r w:rsidRPr="00596866">
        <w:rPr>
          <w:lang w:val="de-DE"/>
        </w:rPr>
        <w:t>Selbsterstelltes langfristiges Vermögen wird zu Selbstkosten [Herstellungskosten] bewertet. Selbstkosten</w:t>
      </w:r>
      <w:r>
        <w:rPr>
          <w:lang w:val="de-DE"/>
        </w:rPr>
        <w:t xml:space="preserve"> [Herstellungskosten] sind alle für die Herstellung oder einer anderen Tätigkeit angefallenen direkten und indirekten Kosten.</w:t>
      </w:r>
    </w:p>
    <w:p w:rsidR="00160AAA" w:rsidRPr="00747A4B" w:rsidRDefault="00160AAA" w:rsidP="00160AAA">
      <w:pPr>
        <w:pStyle w:val="BodyText"/>
        <w:rPr>
          <w:lang w:val="de-DE"/>
        </w:rPr>
      </w:pPr>
    </w:p>
    <w:p w:rsidR="00160AAA" w:rsidRPr="00747A4B" w:rsidRDefault="00160AAA" w:rsidP="00160AAA">
      <w:pPr>
        <w:pStyle w:val="BodyText"/>
        <w:rPr>
          <w:lang w:val="de-DE"/>
        </w:rPr>
      </w:pPr>
      <w:r w:rsidRPr="00747A4B">
        <w:rPr>
          <w:lang w:val="de-DE"/>
        </w:rPr>
        <w:t>Aufwendungen für die Forschung werden nicht aktiviert. Sie werden als Aufwendungen in dem Geschäftsjahr erfasst, in dem sie entstanden sind. Die Entwicklungskosten eines Projektes sind grundsätzlich in dem Geschäftsjahr als Aufwand zu berücksichtigen, in dem sie anfallen, es sei denn, die Entwicklungskosten entstehen bei einem klar und eindeutig abgrenzbaren Produkt oder Verfahren, das technisch realisierbar ist und das mit der Absicht erstellt wird, es zu vermarkten oder für eigene Zwecke zu nutzen. Das Unternehmen muss nachweislich hinreichende Ressourcen zur Verfügung haben, um das Projekt abzuschließen und das Produkt oder</w:t>
      </w:r>
      <w:r>
        <w:rPr>
          <w:lang w:val="de-DE"/>
        </w:rPr>
        <w:t xml:space="preserve"> </w:t>
      </w:r>
      <w:r w:rsidRPr="005273A0">
        <w:rPr>
          <w:lang w:val="de-DE"/>
        </w:rPr>
        <w:t>das</w:t>
      </w:r>
      <w:r w:rsidRPr="00747A4B">
        <w:rPr>
          <w:lang w:val="de-DE"/>
        </w:rPr>
        <w:t xml:space="preserve"> Verfahren zu</w:t>
      </w:r>
      <w:r>
        <w:rPr>
          <w:lang w:val="de-DE"/>
        </w:rPr>
        <w:t xml:space="preserve"> </w:t>
      </w:r>
      <w:r w:rsidRPr="00747A4B">
        <w:rPr>
          <w:lang w:val="de-DE"/>
        </w:rPr>
        <w:t>vermarkten. In diesem Fall werden die Entwicklungskosten als Vermögensgegenstand aktiviert, jedoch höchstens mit dem Betrag, der wahrscheinlich aus dem künftigen wirtschaftlichen Nutzen erzielt wird.</w:t>
      </w:r>
    </w:p>
    <w:p w:rsidR="00160AAA" w:rsidRPr="00747A4B" w:rsidRDefault="00160AAA" w:rsidP="00160AAA">
      <w:pPr>
        <w:pStyle w:val="BodyText"/>
        <w:rPr>
          <w:lang w:val="de-DE"/>
        </w:rPr>
      </w:pPr>
    </w:p>
    <w:p w:rsidR="00160AAA" w:rsidRPr="00747A4B" w:rsidRDefault="00160AAA" w:rsidP="00160AAA">
      <w:pPr>
        <w:pStyle w:val="BodyText"/>
        <w:rPr>
          <w:lang w:val="de-DE"/>
        </w:rPr>
      </w:pPr>
      <w:r w:rsidRPr="00747A4B">
        <w:rPr>
          <w:lang w:val="de-DE"/>
        </w:rPr>
        <w:t>Die als Vermögenswert angesetzten Entwicklungskosten werden über maximal fünf Jahre abgeschrieben, und zwar in den Buchungsperioden, in denen der Verkauf des Produktes oder die Nutzung des Prozesses erwartet wird. Bei der Wertminderung werden sie bis auf den Betrag abgeschrieben, der wahrscheinlich aus dem künftigen wirtschaftlichen Nutzen erzielt wird.</w:t>
      </w:r>
    </w:p>
    <w:p w:rsidR="00160AAA" w:rsidRPr="00747A4B" w:rsidRDefault="00160AAA" w:rsidP="00160AAA">
      <w:pPr>
        <w:pStyle w:val="BodyText"/>
        <w:rPr>
          <w:lang w:val="de-DE"/>
        </w:rPr>
      </w:pPr>
    </w:p>
    <w:p w:rsidR="00C614EE" w:rsidRDefault="00160AAA" w:rsidP="00160AAA">
      <w:pPr>
        <w:pStyle w:val="BodyText"/>
        <w:rPr>
          <w:szCs w:val="18"/>
          <w:lang w:val="de-DE"/>
        </w:rPr>
      </w:pPr>
      <w:r w:rsidRPr="00734D33">
        <w:rPr>
          <w:szCs w:val="18"/>
          <w:lang w:val="de-DE"/>
        </w:rPr>
        <w:t xml:space="preserve">Die Abschreibungen auf langfristige immaterielle Vermögensgegenstände </w:t>
      </w:r>
      <w:r w:rsidRPr="000F69BC">
        <w:rPr>
          <w:szCs w:val="18"/>
          <w:lang w:val="de-DE"/>
        </w:rPr>
        <w:t>werden</w:t>
      </w:r>
      <w:r w:rsidRPr="00747A4B">
        <w:rPr>
          <w:szCs w:val="18"/>
          <w:lang w:val="de-DE"/>
        </w:rPr>
        <w:t xml:space="preserve"> ausgehend von ihrer voraussichtlichen Nutzungsdauer und dem voraussichtlichen Ablauf ihrer Abnutzung festgelegt. Die Abschreibungen beginnen mit dem ersten Tag des auf die Inbetriebnahme des langfristigen Vermögens nachfolgenden Monats. Geringwertige langfristige immaterielle Vermögensgegenstände, deren Anschaffungspreis (bzw. Selbstkosten [Herstellungskosten]) </w:t>
      </w:r>
      <w:r>
        <w:rPr>
          <w:szCs w:val="18"/>
          <w:lang w:val="de-DE"/>
        </w:rPr>
        <w:t>EUR</w:t>
      </w:r>
      <w:r w:rsidRPr="00747A4B">
        <w:rPr>
          <w:szCs w:val="18"/>
          <w:lang w:val="de-DE"/>
        </w:rPr>
        <w:t xml:space="preserve"> </w:t>
      </w:r>
      <w:r>
        <w:rPr>
          <w:szCs w:val="18"/>
          <w:lang w:val="de-DE"/>
        </w:rPr>
        <w:t>2 40</w:t>
      </w:r>
      <w:r w:rsidRPr="009D33FD">
        <w:rPr>
          <w:szCs w:val="18"/>
          <w:lang w:val="de-DE"/>
        </w:rPr>
        <w:t>0</w:t>
      </w:r>
      <w:r>
        <w:rPr>
          <w:szCs w:val="18"/>
          <w:lang w:val="de-DE"/>
        </w:rPr>
        <w:t xml:space="preserve"> nicht </w:t>
      </w:r>
      <w:r w:rsidRPr="00734D33">
        <w:rPr>
          <w:szCs w:val="18"/>
          <w:lang w:val="de-DE"/>
        </w:rPr>
        <w:t>überschreite</w:t>
      </w:r>
      <w:r>
        <w:rPr>
          <w:szCs w:val="18"/>
          <w:lang w:val="de-DE"/>
        </w:rPr>
        <w:t>t</w:t>
      </w:r>
      <w:r w:rsidRPr="00747A4B">
        <w:rPr>
          <w:szCs w:val="18"/>
          <w:lang w:val="de-DE"/>
        </w:rPr>
        <w:t xml:space="preserve">, werden einmalig bei der Inbetriebnahme abgeschrieben. Die voraussichtliche Nutzungsdauer, die Abschreibungsmethode und der Abschreibungssatz werden in folgender Tabelle </w:t>
      </w:r>
      <w:r>
        <w:rPr>
          <w:szCs w:val="18"/>
          <w:lang w:val="de-DE"/>
        </w:rPr>
        <w:t>gezeigt</w:t>
      </w:r>
      <w:r w:rsidRPr="00747A4B">
        <w:rPr>
          <w:szCs w:val="18"/>
          <w:lang w:val="de-DE"/>
        </w:rPr>
        <w:t>:</w:t>
      </w:r>
    </w:p>
    <w:p w:rsidR="00C614EE" w:rsidRDefault="00C614EE" w:rsidP="00160AAA">
      <w:pPr>
        <w:pStyle w:val="BodyText"/>
        <w:rPr>
          <w:szCs w:val="18"/>
          <w:lang w:val="de-DE"/>
        </w:rPr>
      </w:pPr>
    </w:p>
    <w:p w:rsidR="00160AAA" w:rsidRDefault="00160AAA" w:rsidP="00160AAA">
      <w:pPr>
        <w:pStyle w:val="BodyText"/>
        <w:rPr>
          <w:szCs w:val="18"/>
          <w:lang w:val="de-DE"/>
        </w:rPr>
      </w:pPr>
    </w:p>
    <w:tbl>
      <w:tblPr>
        <w:tblW w:w="0" w:type="auto"/>
        <w:tblInd w:w="456" w:type="dxa"/>
        <w:tblCellMar>
          <w:left w:w="30" w:type="dxa"/>
          <w:right w:w="30" w:type="dxa"/>
        </w:tblCellMar>
        <w:tblLook w:val="0000"/>
      </w:tblPr>
      <w:tblGrid>
        <w:gridCol w:w="2894"/>
        <w:gridCol w:w="412"/>
        <w:gridCol w:w="1543"/>
        <w:gridCol w:w="222"/>
        <w:gridCol w:w="1802"/>
        <w:gridCol w:w="222"/>
        <w:gridCol w:w="1721"/>
      </w:tblGrid>
      <w:tr w:rsidR="00160AAA" w:rsidRPr="00747A4B" w:rsidTr="00B72581">
        <w:trPr>
          <w:trHeight w:val="250"/>
        </w:trPr>
        <w:tc>
          <w:tcPr>
            <w:tcW w:w="3402" w:type="dxa"/>
            <w:gridSpan w:val="2"/>
          </w:tcPr>
          <w:p w:rsidR="00160AAA" w:rsidRPr="00747A4B" w:rsidRDefault="00160AAA" w:rsidP="000658BA">
            <w:pPr>
              <w:pStyle w:val="Tabulka"/>
              <w:rPr>
                <w:lang w:val="de-DE"/>
              </w:rPr>
            </w:pPr>
          </w:p>
        </w:tc>
        <w:tc>
          <w:tcPr>
            <w:tcW w:w="1559" w:type="dxa"/>
          </w:tcPr>
          <w:p w:rsidR="00160AAA" w:rsidRPr="00747A4B" w:rsidRDefault="00160AAA" w:rsidP="000658BA">
            <w:pPr>
              <w:pStyle w:val="Tabulka"/>
              <w:jc w:val="center"/>
              <w:rPr>
                <w:lang w:val="de-DE"/>
              </w:rPr>
            </w:pPr>
            <w:r w:rsidRPr="00747A4B">
              <w:rPr>
                <w:lang w:val="de-DE"/>
              </w:rPr>
              <w:t>Voraussichtliche</w:t>
            </w:r>
          </w:p>
        </w:tc>
        <w:tc>
          <w:tcPr>
            <w:tcW w:w="142" w:type="dxa"/>
          </w:tcPr>
          <w:p w:rsidR="00160AAA" w:rsidRPr="00747A4B" w:rsidRDefault="00160AAA" w:rsidP="000658BA">
            <w:pPr>
              <w:pStyle w:val="Tabulka"/>
              <w:jc w:val="center"/>
              <w:rPr>
                <w:lang w:val="de-DE"/>
              </w:rPr>
            </w:pPr>
          </w:p>
        </w:tc>
        <w:tc>
          <w:tcPr>
            <w:tcW w:w="1842" w:type="dxa"/>
          </w:tcPr>
          <w:p w:rsidR="00160AAA" w:rsidRPr="00747A4B" w:rsidRDefault="00160AAA" w:rsidP="000658BA">
            <w:pPr>
              <w:pStyle w:val="Tabulka"/>
              <w:jc w:val="center"/>
              <w:rPr>
                <w:lang w:val="de-DE"/>
              </w:rPr>
            </w:pPr>
            <w:r w:rsidRPr="00747A4B">
              <w:rPr>
                <w:lang w:val="de-DE"/>
              </w:rPr>
              <w:t>Abschreibungs-</w:t>
            </w:r>
          </w:p>
        </w:tc>
        <w:tc>
          <w:tcPr>
            <w:tcW w:w="142" w:type="dxa"/>
          </w:tcPr>
          <w:p w:rsidR="00160AAA" w:rsidRPr="00747A4B" w:rsidRDefault="00160AAA" w:rsidP="000658BA">
            <w:pPr>
              <w:pStyle w:val="Tabulka"/>
              <w:jc w:val="center"/>
              <w:rPr>
                <w:lang w:val="de-DE"/>
              </w:rPr>
            </w:pPr>
          </w:p>
        </w:tc>
        <w:tc>
          <w:tcPr>
            <w:tcW w:w="1730" w:type="dxa"/>
          </w:tcPr>
          <w:p w:rsidR="00160AAA" w:rsidRPr="00747A4B" w:rsidRDefault="00160AAA" w:rsidP="000658BA">
            <w:pPr>
              <w:pStyle w:val="Tabulka"/>
              <w:jc w:val="center"/>
              <w:rPr>
                <w:lang w:val="de-DE"/>
              </w:rPr>
            </w:pPr>
            <w:r w:rsidRPr="00747A4B">
              <w:rPr>
                <w:lang w:val="de-DE"/>
              </w:rPr>
              <w:t>Jahresabschreibungs-</w:t>
            </w:r>
          </w:p>
        </w:tc>
      </w:tr>
      <w:tr w:rsidR="00160AAA" w:rsidRPr="00747A4B" w:rsidTr="00B72581">
        <w:trPr>
          <w:trHeight w:val="250"/>
        </w:trPr>
        <w:tc>
          <w:tcPr>
            <w:tcW w:w="2976" w:type="dxa"/>
            <w:tcBorders>
              <w:bottom w:val="single" w:sz="4" w:space="0" w:color="auto"/>
            </w:tcBorders>
          </w:tcPr>
          <w:p w:rsidR="00160AAA" w:rsidRPr="00747A4B" w:rsidRDefault="00160AAA" w:rsidP="000658BA">
            <w:pPr>
              <w:pStyle w:val="Tabulka"/>
              <w:rPr>
                <w:lang w:val="de-DE"/>
              </w:rPr>
            </w:pPr>
          </w:p>
        </w:tc>
        <w:tc>
          <w:tcPr>
            <w:tcW w:w="426" w:type="dxa"/>
            <w:tcBorders>
              <w:bottom w:val="single" w:sz="4" w:space="0" w:color="auto"/>
            </w:tcBorders>
          </w:tcPr>
          <w:p w:rsidR="00160AAA" w:rsidRPr="00747A4B" w:rsidRDefault="00160AAA" w:rsidP="000658BA">
            <w:pPr>
              <w:pStyle w:val="Tabulka"/>
              <w:rPr>
                <w:lang w:val="de-DE"/>
              </w:rPr>
            </w:pPr>
          </w:p>
        </w:tc>
        <w:tc>
          <w:tcPr>
            <w:tcW w:w="1559" w:type="dxa"/>
            <w:tcBorders>
              <w:bottom w:val="single" w:sz="4" w:space="0" w:color="auto"/>
            </w:tcBorders>
          </w:tcPr>
          <w:p w:rsidR="00160AAA" w:rsidRPr="00747A4B" w:rsidRDefault="00160AAA" w:rsidP="000658BA">
            <w:pPr>
              <w:pStyle w:val="Tabulka"/>
              <w:jc w:val="center"/>
              <w:rPr>
                <w:lang w:val="de-DE"/>
              </w:rPr>
            </w:pPr>
            <w:r w:rsidRPr="00747A4B">
              <w:rPr>
                <w:lang w:val="de-DE"/>
              </w:rPr>
              <w:t>Nutzungsdauer</w:t>
            </w:r>
            <w:r>
              <w:rPr>
                <w:lang w:val="de-DE"/>
              </w:rPr>
              <w:t xml:space="preserve"> in Jahren</w:t>
            </w:r>
          </w:p>
        </w:tc>
        <w:tc>
          <w:tcPr>
            <w:tcW w:w="142" w:type="dxa"/>
            <w:tcBorders>
              <w:bottom w:val="single" w:sz="4" w:space="0" w:color="auto"/>
            </w:tcBorders>
          </w:tcPr>
          <w:p w:rsidR="00160AAA" w:rsidRPr="00747A4B" w:rsidRDefault="00160AAA" w:rsidP="000658BA">
            <w:pPr>
              <w:pStyle w:val="Tabulka"/>
              <w:jc w:val="center"/>
              <w:rPr>
                <w:lang w:val="de-DE"/>
              </w:rPr>
            </w:pPr>
          </w:p>
        </w:tc>
        <w:tc>
          <w:tcPr>
            <w:tcW w:w="1842" w:type="dxa"/>
            <w:tcBorders>
              <w:bottom w:val="single" w:sz="4" w:space="0" w:color="auto"/>
            </w:tcBorders>
          </w:tcPr>
          <w:p w:rsidR="00160AAA" w:rsidRPr="00747A4B" w:rsidRDefault="00160AAA" w:rsidP="000658BA">
            <w:pPr>
              <w:pStyle w:val="Tabulka"/>
              <w:jc w:val="center"/>
              <w:rPr>
                <w:lang w:val="de-DE"/>
              </w:rPr>
            </w:pPr>
            <w:r w:rsidRPr="00747A4B">
              <w:rPr>
                <w:lang w:val="de-DE"/>
              </w:rPr>
              <w:t>methode</w:t>
            </w:r>
          </w:p>
        </w:tc>
        <w:tc>
          <w:tcPr>
            <w:tcW w:w="142" w:type="dxa"/>
            <w:tcBorders>
              <w:bottom w:val="single" w:sz="4" w:space="0" w:color="auto"/>
            </w:tcBorders>
          </w:tcPr>
          <w:p w:rsidR="00160AAA" w:rsidRPr="00747A4B" w:rsidRDefault="00160AAA" w:rsidP="000658BA">
            <w:pPr>
              <w:pStyle w:val="Tabulka"/>
              <w:jc w:val="center"/>
              <w:rPr>
                <w:lang w:val="de-DE"/>
              </w:rPr>
            </w:pPr>
          </w:p>
        </w:tc>
        <w:tc>
          <w:tcPr>
            <w:tcW w:w="1730" w:type="dxa"/>
            <w:tcBorders>
              <w:bottom w:val="single" w:sz="4" w:space="0" w:color="auto"/>
            </w:tcBorders>
          </w:tcPr>
          <w:p w:rsidR="00160AAA" w:rsidRPr="00747A4B" w:rsidRDefault="00160AAA" w:rsidP="000658BA">
            <w:pPr>
              <w:pStyle w:val="Tabulka"/>
              <w:jc w:val="center"/>
              <w:rPr>
                <w:lang w:val="de-DE"/>
              </w:rPr>
            </w:pPr>
            <w:r w:rsidRPr="00747A4B">
              <w:rPr>
                <w:lang w:val="de-DE"/>
              </w:rPr>
              <w:t>satz in %</w:t>
            </w:r>
          </w:p>
        </w:tc>
      </w:tr>
      <w:tr w:rsidR="00160AAA" w:rsidRPr="00747A4B" w:rsidTr="00B72581">
        <w:tblPrEx>
          <w:tblCellMar>
            <w:left w:w="108" w:type="dxa"/>
            <w:right w:w="108" w:type="dxa"/>
          </w:tblCellMar>
        </w:tblPrEx>
        <w:trPr>
          <w:trHeight w:val="245"/>
        </w:trPr>
        <w:tc>
          <w:tcPr>
            <w:tcW w:w="3402" w:type="dxa"/>
            <w:gridSpan w:val="2"/>
            <w:tcBorders>
              <w:top w:val="single" w:sz="4" w:space="0" w:color="auto"/>
            </w:tcBorders>
          </w:tcPr>
          <w:p w:rsidR="00160AAA" w:rsidRPr="00747A4B" w:rsidRDefault="00160AAA" w:rsidP="000658BA">
            <w:pPr>
              <w:pStyle w:val="Tabulka"/>
              <w:rPr>
                <w:lang w:val="de-DE"/>
              </w:rPr>
            </w:pPr>
            <w:r w:rsidRPr="00747A4B">
              <w:rPr>
                <w:lang w:val="de-DE"/>
              </w:rPr>
              <w:t>Aktivierte Entwicklungskosten</w:t>
            </w:r>
          </w:p>
        </w:tc>
        <w:tc>
          <w:tcPr>
            <w:tcW w:w="1559" w:type="dxa"/>
            <w:tcBorders>
              <w:top w:val="single" w:sz="4" w:space="0" w:color="auto"/>
            </w:tcBorders>
          </w:tcPr>
          <w:p w:rsidR="00160AAA" w:rsidRPr="00747A4B" w:rsidRDefault="00160AAA" w:rsidP="000658BA">
            <w:pPr>
              <w:pStyle w:val="Tabulka"/>
              <w:jc w:val="center"/>
              <w:rPr>
                <w:lang w:val="de-DE"/>
              </w:rPr>
            </w:pPr>
            <w:r w:rsidRPr="00747A4B">
              <w:rPr>
                <w:lang w:val="de-DE"/>
              </w:rPr>
              <w:t>5</w:t>
            </w:r>
          </w:p>
        </w:tc>
        <w:tc>
          <w:tcPr>
            <w:tcW w:w="142" w:type="dxa"/>
            <w:tcBorders>
              <w:top w:val="single" w:sz="4" w:space="0" w:color="auto"/>
            </w:tcBorders>
          </w:tcPr>
          <w:p w:rsidR="00160AAA" w:rsidRPr="00747A4B" w:rsidRDefault="00160AAA" w:rsidP="000658BA">
            <w:pPr>
              <w:pStyle w:val="Tabulka"/>
              <w:jc w:val="center"/>
              <w:rPr>
                <w:lang w:val="de-DE"/>
              </w:rPr>
            </w:pPr>
          </w:p>
        </w:tc>
        <w:tc>
          <w:tcPr>
            <w:tcW w:w="1842" w:type="dxa"/>
            <w:tcBorders>
              <w:top w:val="single" w:sz="4" w:space="0" w:color="auto"/>
            </w:tcBorders>
          </w:tcPr>
          <w:p w:rsidR="00160AAA" w:rsidRPr="00747A4B" w:rsidRDefault="00160AAA" w:rsidP="000658BA">
            <w:pPr>
              <w:pStyle w:val="Tabulka"/>
              <w:jc w:val="center"/>
              <w:rPr>
                <w:lang w:val="de-DE"/>
              </w:rPr>
            </w:pPr>
            <w:r w:rsidRPr="00747A4B">
              <w:rPr>
                <w:lang w:val="de-DE"/>
              </w:rPr>
              <w:t>linear</w:t>
            </w:r>
          </w:p>
        </w:tc>
        <w:tc>
          <w:tcPr>
            <w:tcW w:w="142" w:type="dxa"/>
            <w:tcBorders>
              <w:top w:val="single" w:sz="4" w:space="0" w:color="auto"/>
            </w:tcBorders>
          </w:tcPr>
          <w:p w:rsidR="00160AAA" w:rsidRPr="00747A4B" w:rsidRDefault="00160AAA" w:rsidP="000658BA">
            <w:pPr>
              <w:pStyle w:val="Tabulka"/>
              <w:jc w:val="center"/>
              <w:rPr>
                <w:lang w:val="de-DE"/>
              </w:rPr>
            </w:pPr>
          </w:p>
        </w:tc>
        <w:tc>
          <w:tcPr>
            <w:tcW w:w="1730" w:type="dxa"/>
            <w:tcBorders>
              <w:top w:val="single" w:sz="4" w:space="0" w:color="auto"/>
            </w:tcBorders>
          </w:tcPr>
          <w:p w:rsidR="00160AAA" w:rsidRPr="00747A4B" w:rsidRDefault="00160AAA" w:rsidP="000658BA">
            <w:pPr>
              <w:pStyle w:val="Tabulka"/>
              <w:jc w:val="center"/>
              <w:rPr>
                <w:lang w:val="de-DE"/>
              </w:rPr>
            </w:pPr>
            <w:r w:rsidRPr="00747A4B">
              <w:rPr>
                <w:lang w:val="de-DE"/>
              </w:rPr>
              <w:t>20</w:t>
            </w:r>
          </w:p>
        </w:tc>
      </w:tr>
      <w:tr w:rsidR="00160AAA" w:rsidRPr="00747A4B" w:rsidTr="000658BA">
        <w:tblPrEx>
          <w:tblCellMar>
            <w:left w:w="108" w:type="dxa"/>
            <w:right w:w="108" w:type="dxa"/>
          </w:tblCellMar>
        </w:tblPrEx>
        <w:trPr>
          <w:trHeight w:val="245"/>
        </w:trPr>
        <w:tc>
          <w:tcPr>
            <w:tcW w:w="3402" w:type="dxa"/>
            <w:gridSpan w:val="2"/>
          </w:tcPr>
          <w:p w:rsidR="00160AAA" w:rsidRPr="00747A4B" w:rsidRDefault="00160AAA" w:rsidP="000658BA">
            <w:pPr>
              <w:pStyle w:val="Tabulka"/>
              <w:rPr>
                <w:lang w:val="de-DE"/>
              </w:rPr>
            </w:pPr>
            <w:r w:rsidRPr="00747A4B">
              <w:rPr>
                <w:lang w:val="de-DE"/>
              </w:rPr>
              <w:t>Software</w:t>
            </w:r>
          </w:p>
        </w:tc>
        <w:tc>
          <w:tcPr>
            <w:tcW w:w="1559" w:type="dxa"/>
          </w:tcPr>
          <w:p w:rsidR="00160AAA" w:rsidRPr="00747A4B" w:rsidRDefault="00160AAA" w:rsidP="000658BA">
            <w:pPr>
              <w:pStyle w:val="Tabulka"/>
              <w:jc w:val="center"/>
              <w:rPr>
                <w:lang w:val="de-DE"/>
              </w:rPr>
            </w:pPr>
            <w:r w:rsidRPr="00747A4B">
              <w:rPr>
                <w:lang w:val="de-DE"/>
              </w:rPr>
              <w:t>4</w:t>
            </w:r>
          </w:p>
        </w:tc>
        <w:tc>
          <w:tcPr>
            <w:tcW w:w="142" w:type="dxa"/>
          </w:tcPr>
          <w:p w:rsidR="00160AAA" w:rsidRPr="00747A4B" w:rsidRDefault="00160AAA" w:rsidP="000658BA">
            <w:pPr>
              <w:pStyle w:val="Tabulka"/>
              <w:jc w:val="center"/>
              <w:rPr>
                <w:lang w:val="de-DE"/>
              </w:rPr>
            </w:pPr>
          </w:p>
        </w:tc>
        <w:tc>
          <w:tcPr>
            <w:tcW w:w="1842" w:type="dxa"/>
          </w:tcPr>
          <w:p w:rsidR="00160AAA" w:rsidRPr="00747A4B" w:rsidRDefault="00160AAA" w:rsidP="000658BA">
            <w:pPr>
              <w:pStyle w:val="Tabulka"/>
              <w:jc w:val="center"/>
              <w:rPr>
                <w:lang w:val="de-DE"/>
              </w:rPr>
            </w:pPr>
            <w:r w:rsidRPr="00747A4B">
              <w:rPr>
                <w:lang w:val="de-DE"/>
              </w:rPr>
              <w:t>linear</w:t>
            </w:r>
          </w:p>
        </w:tc>
        <w:tc>
          <w:tcPr>
            <w:tcW w:w="142" w:type="dxa"/>
          </w:tcPr>
          <w:p w:rsidR="00160AAA" w:rsidRPr="00747A4B" w:rsidRDefault="00160AAA" w:rsidP="000658BA">
            <w:pPr>
              <w:pStyle w:val="Tabulka"/>
              <w:jc w:val="center"/>
              <w:rPr>
                <w:lang w:val="de-DE"/>
              </w:rPr>
            </w:pPr>
          </w:p>
        </w:tc>
        <w:tc>
          <w:tcPr>
            <w:tcW w:w="1730" w:type="dxa"/>
          </w:tcPr>
          <w:p w:rsidR="00160AAA" w:rsidRPr="00747A4B" w:rsidRDefault="00160AAA" w:rsidP="000658BA">
            <w:pPr>
              <w:pStyle w:val="Tabulka"/>
              <w:jc w:val="center"/>
              <w:rPr>
                <w:lang w:val="de-DE"/>
              </w:rPr>
            </w:pPr>
            <w:r w:rsidRPr="00747A4B">
              <w:rPr>
                <w:lang w:val="de-DE"/>
              </w:rPr>
              <w:t>25</w:t>
            </w:r>
          </w:p>
        </w:tc>
      </w:tr>
      <w:tr w:rsidR="00160AAA" w:rsidRPr="00747A4B" w:rsidTr="000658BA">
        <w:tblPrEx>
          <w:tblCellMar>
            <w:left w:w="108" w:type="dxa"/>
            <w:right w:w="108" w:type="dxa"/>
          </w:tblCellMar>
        </w:tblPrEx>
        <w:trPr>
          <w:trHeight w:val="245"/>
        </w:trPr>
        <w:tc>
          <w:tcPr>
            <w:tcW w:w="3402" w:type="dxa"/>
            <w:gridSpan w:val="2"/>
          </w:tcPr>
          <w:p w:rsidR="00160AAA" w:rsidRPr="00747A4B" w:rsidRDefault="00160AAA" w:rsidP="000658BA">
            <w:pPr>
              <w:pStyle w:val="Tabulka"/>
              <w:rPr>
                <w:lang w:val="de-DE"/>
              </w:rPr>
            </w:pPr>
            <w:r w:rsidRPr="00747A4B">
              <w:rPr>
                <w:lang w:val="de-DE"/>
              </w:rPr>
              <w:t>Bewertbare Rechte (Lizenzen)</w:t>
            </w:r>
          </w:p>
        </w:tc>
        <w:tc>
          <w:tcPr>
            <w:tcW w:w="1559" w:type="dxa"/>
          </w:tcPr>
          <w:p w:rsidR="00160AAA" w:rsidRPr="00747A4B" w:rsidRDefault="00160AAA" w:rsidP="000658BA">
            <w:pPr>
              <w:pStyle w:val="Tabulka"/>
              <w:jc w:val="center"/>
              <w:rPr>
                <w:lang w:val="de-DE"/>
              </w:rPr>
            </w:pPr>
            <w:r>
              <w:rPr>
                <w:lang w:val="de-DE"/>
              </w:rPr>
              <w:t>8</w:t>
            </w:r>
          </w:p>
        </w:tc>
        <w:tc>
          <w:tcPr>
            <w:tcW w:w="142" w:type="dxa"/>
          </w:tcPr>
          <w:p w:rsidR="00160AAA" w:rsidRPr="00747A4B" w:rsidRDefault="00160AAA" w:rsidP="000658BA">
            <w:pPr>
              <w:pStyle w:val="Tabulka"/>
              <w:jc w:val="center"/>
              <w:rPr>
                <w:lang w:val="de-DE"/>
              </w:rPr>
            </w:pPr>
          </w:p>
        </w:tc>
        <w:tc>
          <w:tcPr>
            <w:tcW w:w="1842" w:type="dxa"/>
          </w:tcPr>
          <w:p w:rsidR="00160AAA" w:rsidRPr="00747A4B" w:rsidRDefault="00160AAA" w:rsidP="000658BA">
            <w:pPr>
              <w:pStyle w:val="Tabulka"/>
              <w:jc w:val="center"/>
              <w:rPr>
                <w:lang w:val="de-DE"/>
              </w:rPr>
            </w:pPr>
            <w:r w:rsidRPr="00747A4B">
              <w:rPr>
                <w:lang w:val="de-DE"/>
              </w:rPr>
              <w:t>linear</w:t>
            </w:r>
          </w:p>
        </w:tc>
        <w:tc>
          <w:tcPr>
            <w:tcW w:w="142" w:type="dxa"/>
          </w:tcPr>
          <w:p w:rsidR="00160AAA" w:rsidRPr="00747A4B" w:rsidRDefault="00160AAA" w:rsidP="000658BA">
            <w:pPr>
              <w:pStyle w:val="Tabulka"/>
              <w:jc w:val="center"/>
              <w:rPr>
                <w:lang w:val="de-DE"/>
              </w:rPr>
            </w:pPr>
          </w:p>
        </w:tc>
        <w:tc>
          <w:tcPr>
            <w:tcW w:w="1730" w:type="dxa"/>
          </w:tcPr>
          <w:p w:rsidR="00160AAA" w:rsidRPr="00747A4B" w:rsidRDefault="00160AAA" w:rsidP="000658BA">
            <w:pPr>
              <w:pStyle w:val="Tabulka"/>
              <w:jc w:val="center"/>
              <w:rPr>
                <w:lang w:val="de-DE"/>
              </w:rPr>
            </w:pPr>
            <w:r>
              <w:rPr>
                <w:lang w:val="de-DE"/>
              </w:rPr>
              <w:t>12,5</w:t>
            </w:r>
          </w:p>
        </w:tc>
      </w:tr>
      <w:tr w:rsidR="00160AAA" w:rsidRPr="00747A4B" w:rsidTr="000658BA">
        <w:tblPrEx>
          <w:tblCellMar>
            <w:left w:w="108" w:type="dxa"/>
            <w:right w:w="108" w:type="dxa"/>
          </w:tblCellMar>
        </w:tblPrEx>
        <w:trPr>
          <w:trHeight w:val="245"/>
        </w:trPr>
        <w:tc>
          <w:tcPr>
            <w:tcW w:w="3402" w:type="dxa"/>
            <w:gridSpan w:val="2"/>
          </w:tcPr>
          <w:p w:rsidR="00160AAA" w:rsidRPr="00747A4B" w:rsidRDefault="00160AAA" w:rsidP="000658BA">
            <w:pPr>
              <w:pStyle w:val="Tabulka"/>
              <w:rPr>
                <w:lang w:val="de-DE"/>
              </w:rPr>
            </w:pPr>
            <w:r w:rsidRPr="00747A4B">
              <w:rPr>
                <w:lang w:val="de-DE"/>
              </w:rPr>
              <w:t>Geringwertige langfristige immaterielle Vermögensgegenstände</w:t>
            </w:r>
          </w:p>
        </w:tc>
        <w:tc>
          <w:tcPr>
            <w:tcW w:w="1559" w:type="dxa"/>
          </w:tcPr>
          <w:p w:rsidR="00160AAA" w:rsidRPr="00747A4B" w:rsidRDefault="00160AAA" w:rsidP="000658BA">
            <w:pPr>
              <w:pStyle w:val="Tabulka"/>
              <w:jc w:val="center"/>
              <w:rPr>
                <w:lang w:val="de-DE"/>
              </w:rPr>
            </w:pPr>
            <w:r w:rsidRPr="00747A4B">
              <w:rPr>
                <w:lang w:val="de-DE"/>
              </w:rPr>
              <w:t>unterschiedlich</w:t>
            </w:r>
          </w:p>
        </w:tc>
        <w:tc>
          <w:tcPr>
            <w:tcW w:w="142" w:type="dxa"/>
          </w:tcPr>
          <w:p w:rsidR="00160AAA" w:rsidRPr="00747A4B" w:rsidRDefault="00160AAA" w:rsidP="000658BA">
            <w:pPr>
              <w:pStyle w:val="Tabulka"/>
              <w:jc w:val="center"/>
              <w:rPr>
                <w:lang w:val="de-DE"/>
              </w:rPr>
            </w:pPr>
          </w:p>
        </w:tc>
        <w:tc>
          <w:tcPr>
            <w:tcW w:w="1842" w:type="dxa"/>
          </w:tcPr>
          <w:p w:rsidR="00160AAA" w:rsidRPr="00747A4B" w:rsidRDefault="00160AAA" w:rsidP="000658BA">
            <w:pPr>
              <w:pStyle w:val="Tabulka"/>
              <w:jc w:val="center"/>
              <w:rPr>
                <w:lang w:val="de-DE"/>
              </w:rPr>
            </w:pPr>
            <w:r w:rsidRPr="00747A4B">
              <w:rPr>
                <w:lang w:val="de-DE"/>
              </w:rPr>
              <w:t>einmalige Abschreibung</w:t>
            </w:r>
          </w:p>
        </w:tc>
        <w:tc>
          <w:tcPr>
            <w:tcW w:w="142" w:type="dxa"/>
          </w:tcPr>
          <w:p w:rsidR="00160AAA" w:rsidRPr="00747A4B" w:rsidRDefault="00160AAA" w:rsidP="000658BA">
            <w:pPr>
              <w:pStyle w:val="Tabulka"/>
              <w:jc w:val="center"/>
              <w:rPr>
                <w:lang w:val="de-DE"/>
              </w:rPr>
            </w:pPr>
          </w:p>
        </w:tc>
        <w:tc>
          <w:tcPr>
            <w:tcW w:w="1730" w:type="dxa"/>
          </w:tcPr>
          <w:p w:rsidR="00160AAA" w:rsidRPr="00747A4B" w:rsidRDefault="00160AAA" w:rsidP="000658BA">
            <w:pPr>
              <w:pStyle w:val="Tabulka"/>
              <w:jc w:val="center"/>
              <w:rPr>
                <w:lang w:val="de-DE"/>
              </w:rPr>
            </w:pPr>
            <w:r w:rsidRPr="00747A4B">
              <w:rPr>
                <w:lang w:val="de-DE"/>
              </w:rPr>
              <w:t>100</w:t>
            </w:r>
          </w:p>
        </w:tc>
      </w:tr>
    </w:tbl>
    <w:p w:rsidR="00160AAA" w:rsidRDefault="00160AAA" w:rsidP="00160AAA">
      <w:pPr>
        <w:pStyle w:val="BodyText"/>
        <w:rPr>
          <w:lang w:val="de-DE"/>
        </w:rPr>
      </w:pPr>
    </w:p>
    <w:p w:rsidR="00160AAA" w:rsidRDefault="00160AAA" w:rsidP="00160AAA">
      <w:pPr>
        <w:pStyle w:val="BodyText"/>
        <w:rPr>
          <w:lang w:val="de-DE"/>
        </w:rPr>
      </w:pPr>
      <w:r w:rsidRPr="00734D33">
        <w:rPr>
          <w:lang w:val="de-DE"/>
        </w:rPr>
        <w:t>Die Abschreibungen auf Sachanlagen werden</w:t>
      </w:r>
      <w:r w:rsidRPr="00747A4B">
        <w:rPr>
          <w:lang w:val="de-DE"/>
        </w:rPr>
        <w:t xml:space="preserve"> ausgehend von ihrer voraussichtlichen Nutzungsdauer und dem voraussichtlichen Ablauf ihrer Abnutzung festgelegt. </w:t>
      </w:r>
      <w:r>
        <w:rPr>
          <w:lang w:val="de-DE"/>
        </w:rPr>
        <w:t>Die Abschreibungen beginnen im Folgemonat nach Inbetriebnahme des langfristigen Vermögens</w:t>
      </w:r>
      <w:r w:rsidRPr="00747A4B">
        <w:rPr>
          <w:lang w:val="de-DE"/>
        </w:rPr>
        <w:t>. Geringwertige Sachanlagen, deren Anschaffungspreis (bzw. Selbstkosten [Herstellungskosten]</w:t>
      </w:r>
      <w:r>
        <w:rPr>
          <w:lang w:val="de-DE"/>
        </w:rPr>
        <w:t xml:space="preserve">) </w:t>
      </w:r>
      <w:r w:rsidRPr="009D33FD">
        <w:rPr>
          <w:lang w:val="de-DE"/>
        </w:rPr>
        <w:t xml:space="preserve">EUR </w:t>
      </w:r>
      <w:r>
        <w:rPr>
          <w:lang w:val="de-DE"/>
        </w:rPr>
        <w:t>1 700</w:t>
      </w:r>
      <w:r w:rsidRPr="00EB704A">
        <w:t xml:space="preserve"> </w:t>
      </w:r>
      <w:r>
        <w:rPr>
          <w:lang w:val="de-DE"/>
        </w:rPr>
        <w:t>nicht überschreitet</w:t>
      </w:r>
      <w:r w:rsidRPr="00747A4B">
        <w:rPr>
          <w:lang w:val="de-DE"/>
        </w:rPr>
        <w:t xml:space="preserve">, werden einmalig bei der Inbetriebnahme abgeschrieben. Grundstücke werden nicht abgeschrieben. </w:t>
      </w:r>
    </w:p>
    <w:p w:rsidR="00160AAA" w:rsidRPr="00747A4B" w:rsidRDefault="00160AAA" w:rsidP="00160AAA">
      <w:pPr>
        <w:pStyle w:val="BodyText"/>
        <w:rPr>
          <w:lang w:val="de-DE"/>
        </w:rPr>
      </w:pPr>
    </w:p>
    <w:p w:rsidR="00160AAA" w:rsidRDefault="00160AAA" w:rsidP="00160AAA">
      <w:pPr>
        <w:pStyle w:val="BodyText"/>
        <w:rPr>
          <w:lang w:val="de-DE"/>
        </w:rPr>
      </w:pPr>
      <w:r w:rsidRPr="00747A4B">
        <w:rPr>
          <w:lang w:val="de-DE"/>
        </w:rPr>
        <w:t>Die voraussichtliche Nutzungsdauer, die Abschreibungsmethode und der Abschreibungssatz werden in folgender Tabelle dargestellt:</w:t>
      </w:r>
    </w:p>
    <w:p w:rsidR="00171D95" w:rsidRDefault="00171D95" w:rsidP="00160AAA">
      <w:pPr>
        <w:pStyle w:val="BodyText"/>
        <w:rPr>
          <w:lang w:val="de-DE"/>
        </w:rPr>
      </w:pPr>
    </w:p>
    <w:p w:rsidR="00160AAA" w:rsidRPr="00747A4B" w:rsidRDefault="00160AAA" w:rsidP="00160AAA">
      <w:pPr>
        <w:pStyle w:val="BodyText"/>
        <w:rPr>
          <w:lang w:val="de-DE"/>
        </w:rPr>
      </w:pPr>
    </w:p>
    <w:tbl>
      <w:tblPr>
        <w:tblW w:w="0" w:type="auto"/>
        <w:tblInd w:w="456" w:type="dxa"/>
        <w:tblCellMar>
          <w:left w:w="30" w:type="dxa"/>
          <w:right w:w="30" w:type="dxa"/>
        </w:tblCellMar>
        <w:tblLook w:val="0000"/>
      </w:tblPr>
      <w:tblGrid>
        <w:gridCol w:w="2895"/>
        <w:gridCol w:w="414"/>
        <w:gridCol w:w="1685"/>
        <w:gridCol w:w="222"/>
        <w:gridCol w:w="1681"/>
        <w:gridCol w:w="222"/>
        <w:gridCol w:w="1697"/>
      </w:tblGrid>
      <w:tr w:rsidR="00160AAA" w:rsidRPr="00747A4B" w:rsidTr="00B72581">
        <w:trPr>
          <w:trHeight w:val="250"/>
        </w:trPr>
        <w:tc>
          <w:tcPr>
            <w:tcW w:w="3402" w:type="dxa"/>
            <w:gridSpan w:val="2"/>
          </w:tcPr>
          <w:p w:rsidR="00160AAA" w:rsidRPr="00747A4B" w:rsidRDefault="00160AAA" w:rsidP="000658BA">
            <w:pPr>
              <w:pStyle w:val="Tabulka"/>
              <w:rPr>
                <w:lang w:val="de-DE"/>
              </w:rPr>
            </w:pPr>
          </w:p>
        </w:tc>
        <w:tc>
          <w:tcPr>
            <w:tcW w:w="1701" w:type="dxa"/>
          </w:tcPr>
          <w:p w:rsidR="00160AAA" w:rsidRPr="00747A4B" w:rsidRDefault="00160AAA" w:rsidP="000658BA">
            <w:pPr>
              <w:pStyle w:val="Tabulka"/>
              <w:jc w:val="center"/>
              <w:rPr>
                <w:lang w:val="de-DE"/>
              </w:rPr>
            </w:pPr>
            <w:r w:rsidRPr="00747A4B">
              <w:rPr>
                <w:lang w:val="de-DE"/>
              </w:rPr>
              <w:t>Voraussichtliche</w:t>
            </w:r>
          </w:p>
        </w:tc>
        <w:tc>
          <w:tcPr>
            <w:tcW w:w="141" w:type="dxa"/>
          </w:tcPr>
          <w:p w:rsidR="00160AAA" w:rsidRPr="00747A4B" w:rsidRDefault="00160AAA" w:rsidP="000658BA">
            <w:pPr>
              <w:pStyle w:val="Tabulka"/>
              <w:jc w:val="center"/>
              <w:rPr>
                <w:lang w:val="de-DE"/>
              </w:rPr>
            </w:pPr>
          </w:p>
        </w:tc>
        <w:tc>
          <w:tcPr>
            <w:tcW w:w="1701" w:type="dxa"/>
          </w:tcPr>
          <w:p w:rsidR="00160AAA" w:rsidRPr="00747A4B" w:rsidRDefault="00160AAA" w:rsidP="000658BA">
            <w:pPr>
              <w:pStyle w:val="Tabulka"/>
              <w:jc w:val="center"/>
              <w:rPr>
                <w:lang w:val="de-DE"/>
              </w:rPr>
            </w:pPr>
            <w:r w:rsidRPr="00747A4B">
              <w:rPr>
                <w:lang w:val="de-DE"/>
              </w:rPr>
              <w:t>Abschreibungs-</w:t>
            </w:r>
          </w:p>
        </w:tc>
        <w:tc>
          <w:tcPr>
            <w:tcW w:w="142" w:type="dxa"/>
          </w:tcPr>
          <w:p w:rsidR="00160AAA" w:rsidRPr="00747A4B" w:rsidRDefault="00160AAA" w:rsidP="000658BA">
            <w:pPr>
              <w:pStyle w:val="Tabulka"/>
              <w:jc w:val="center"/>
              <w:rPr>
                <w:lang w:val="de-DE"/>
              </w:rPr>
            </w:pPr>
          </w:p>
        </w:tc>
        <w:tc>
          <w:tcPr>
            <w:tcW w:w="1701" w:type="dxa"/>
          </w:tcPr>
          <w:p w:rsidR="00160AAA" w:rsidRPr="00747A4B" w:rsidRDefault="00160AAA" w:rsidP="000658BA">
            <w:pPr>
              <w:pStyle w:val="Tabulka"/>
              <w:jc w:val="center"/>
              <w:rPr>
                <w:lang w:val="de-DE"/>
              </w:rPr>
            </w:pPr>
            <w:r w:rsidRPr="00747A4B">
              <w:rPr>
                <w:lang w:val="de-DE"/>
              </w:rPr>
              <w:t>Jahresabschreibungs-</w:t>
            </w:r>
          </w:p>
        </w:tc>
      </w:tr>
      <w:tr w:rsidR="00160AAA" w:rsidRPr="00747A4B" w:rsidTr="00B72581">
        <w:trPr>
          <w:trHeight w:val="250"/>
        </w:trPr>
        <w:tc>
          <w:tcPr>
            <w:tcW w:w="2976" w:type="dxa"/>
            <w:tcBorders>
              <w:bottom w:val="single" w:sz="4" w:space="0" w:color="auto"/>
            </w:tcBorders>
          </w:tcPr>
          <w:p w:rsidR="00160AAA" w:rsidRPr="00747A4B" w:rsidRDefault="00160AAA" w:rsidP="000658BA">
            <w:pPr>
              <w:pStyle w:val="Tabulka"/>
              <w:rPr>
                <w:lang w:val="de-DE"/>
              </w:rPr>
            </w:pPr>
          </w:p>
        </w:tc>
        <w:tc>
          <w:tcPr>
            <w:tcW w:w="426" w:type="dxa"/>
            <w:tcBorders>
              <w:bottom w:val="single" w:sz="4" w:space="0" w:color="auto"/>
            </w:tcBorders>
          </w:tcPr>
          <w:p w:rsidR="00160AAA" w:rsidRPr="00747A4B" w:rsidRDefault="00160AAA" w:rsidP="000658BA">
            <w:pPr>
              <w:pStyle w:val="Tabulka"/>
              <w:rPr>
                <w:lang w:val="de-DE"/>
              </w:rPr>
            </w:pPr>
          </w:p>
        </w:tc>
        <w:tc>
          <w:tcPr>
            <w:tcW w:w="1701" w:type="dxa"/>
            <w:tcBorders>
              <w:bottom w:val="single" w:sz="4" w:space="0" w:color="auto"/>
            </w:tcBorders>
          </w:tcPr>
          <w:p w:rsidR="00160AAA" w:rsidRPr="00747A4B" w:rsidRDefault="00160AAA" w:rsidP="000658BA">
            <w:pPr>
              <w:pStyle w:val="Tabulka"/>
              <w:jc w:val="center"/>
              <w:rPr>
                <w:lang w:val="de-DE"/>
              </w:rPr>
            </w:pPr>
            <w:r w:rsidRPr="00747A4B">
              <w:rPr>
                <w:lang w:val="de-DE"/>
              </w:rPr>
              <w:t>Nutzungsdauer</w:t>
            </w:r>
            <w:r>
              <w:rPr>
                <w:lang w:val="de-DE"/>
              </w:rPr>
              <w:br/>
              <w:t>in Jahren</w:t>
            </w:r>
          </w:p>
        </w:tc>
        <w:tc>
          <w:tcPr>
            <w:tcW w:w="141" w:type="dxa"/>
            <w:tcBorders>
              <w:bottom w:val="single" w:sz="4" w:space="0" w:color="auto"/>
            </w:tcBorders>
          </w:tcPr>
          <w:p w:rsidR="00160AAA" w:rsidRPr="00747A4B" w:rsidRDefault="00160AAA" w:rsidP="000658BA">
            <w:pPr>
              <w:pStyle w:val="Tabulka"/>
              <w:jc w:val="center"/>
              <w:rPr>
                <w:lang w:val="de-DE"/>
              </w:rPr>
            </w:pPr>
          </w:p>
        </w:tc>
        <w:tc>
          <w:tcPr>
            <w:tcW w:w="1701" w:type="dxa"/>
            <w:tcBorders>
              <w:bottom w:val="single" w:sz="4" w:space="0" w:color="auto"/>
            </w:tcBorders>
          </w:tcPr>
          <w:p w:rsidR="00160AAA" w:rsidRPr="00747A4B" w:rsidRDefault="00160AAA" w:rsidP="000658BA">
            <w:pPr>
              <w:pStyle w:val="Tabulka"/>
              <w:jc w:val="center"/>
              <w:rPr>
                <w:lang w:val="de-DE"/>
              </w:rPr>
            </w:pPr>
            <w:r w:rsidRPr="00747A4B">
              <w:rPr>
                <w:lang w:val="de-DE"/>
              </w:rPr>
              <w:t>methode</w:t>
            </w:r>
          </w:p>
        </w:tc>
        <w:tc>
          <w:tcPr>
            <w:tcW w:w="142" w:type="dxa"/>
            <w:tcBorders>
              <w:bottom w:val="single" w:sz="4" w:space="0" w:color="auto"/>
            </w:tcBorders>
          </w:tcPr>
          <w:p w:rsidR="00160AAA" w:rsidRPr="00747A4B" w:rsidRDefault="00160AAA" w:rsidP="000658BA">
            <w:pPr>
              <w:pStyle w:val="Tabulka"/>
              <w:jc w:val="center"/>
              <w:rPr>
                <w:lang w:val="de-DE"/>
              </w:rPr>
            </w:pPr>
          </w:p>
        </w:tc>
        <w:tc>
          <w:tcPr>
            <w:tcW w:w="1701" w:type="dxa"/>
            <w:tcBorders>
              <w:bottom w:val="single" w:sz="4" w:space="0" w:color="auto"/>
            </w:tcBorders>
          </w:tcPr>
          <w:p w:rsidR="00160AAA" w:rsidRPr="00747A4B" w:rsidRDefault="00160AAA" w:rsidP="000658BA">
            <w:pPr>
              <w:pStyle w:val="Tabulka"/>
              <w:jc w:val="center"/>
              <w:rPr>
                <w:lang w:val="de-DE"/>
              </w:rPr>
            </w:pPr>
            <w:r w:rsidRPr="00747A4B">
              <w:rPr>
                <w:lang w:val="de-DE"/>
              </w:rPr>
              <w:t>satz in %</w:t>
            </w:r>
          </w:p>
        </w:tc>
      </w:tr>
      <w:tr w:rsidR="00160AAA" w:rsidRPr="00747A4B" w:rsidTr="00B72581">
        <w:trPr>
          <w:trHeight w:val="250"/>
        </w:trPr>
        <w:tc>
          <w:tcPr>
            <w:tcW w:w="3402" w:type="dxa"/>
            <w:gridSpan w:val="2"/>
            <w:tcBorders>
              <w:top w:val="single" w:sz="4" w:space="0" w:color="auto"/>
            </w:tcBorders>
          </w:tcPr>
          <w:p w:rsidR="00160AAA" w:rsidRPr="00747A4B" w:rsidRDefault="00160AAA" w:rsidP="000658BA">
            <w:pPr>
              <w:pStyle w:val="Tabulka"/>
              <w:rPr>
                <w:lang w:val="de-DE"/>
              </w:rPr>
            </w:pPr>
            <w:r w:rsidRPr="00747A4B">
              <w:rPr>
                <w:lang w:val="de-DE"/>
              </w:rPr>
              <w:t>Bauten</w:t>
            </w:r>
          </w:p>
        </w:tc>
        <w:tc>
          <w:tcPr>
            <w:tcW w:w="1701" w:type="dxa"/>
            <w:tcBorders>
              <w:top w:val="single" w:sz="4" w:space="0" w:color="auto"/>
            </w:tcBorders>
          </w:tcPr>
          <w:p w:rsidR="00160AAA" w:rsidRPr="00747A4B" w:rsidRDefault="00160AAA" w:rsidP="000658BA">
            <w:pPr>
              <w:pStyle w:val="Tabulka"/>
              <w:jc w:val="center"/>
              <w:rPr>
                <w:lang w:val="de-DE"/>
              </w:rPr>
            </w:pPr>
            <w:r w:rsidRPr="00747A4B">
              <w:rPr>
                <w:lang w:val="de-DE"/>
              </w:rPr>
              <w:t>40</w:t>
            </w:r>
          </w:p>
        </w:tc>
        <w:tc>
          <w:tcPr>
            <w:tcW w:w="141" w:type="dxa"/>
            <w:tcBorders>
              <w:top w:val="single" w:sz="4" w:space="0" w:color="auto"/>
            </w:tcBorders>
          </w:tcPr>
          <w:p w:rsidR="00160AAA" w:rsidRPr="00747A4B" w:rsidRDefault="00160AAA" w:rsidP="000658BA">
            <w:pPr>
              <w:pStyle w:val="Tabulka"/>
              <w:jc w:val="center"/>
              <w:rPr>
                <w:lang w:val="de-DE"/>
              </w:rPr>
            </w:pPr>
          </w:p>
        </w:tc>
        <w:tc>
          <w:tcPr>
            <w:tcW w:w="1701" w:type="dxa"/>
            <w:tcBorders>
              <w:top w:val="single" w:sz="4" w:space="0" w:color="auto"/>
            </w:tcBorders>
          </w:tcPr>
          <w:p w:rsidR="00160AAA" w:rsidRPr="00747A4B" w:rsidRDefault="00160AAA" w:rsidP="000658BA">
            <w:pPr>
              <w:pStyle w:val="Tabulka"/>
              <w:jc w:val="center"/>
              <w:rPr>
                <w:lang w:val="de-DE"/>
              </w:rPr>
            </w:pPr>
            <w:r w:rsidRPr="00747A4B">
              <w:rPr>
                <w:lang w:val="de-DE"/>
              </w:rPr>
              <w:t>linear</w:t>
            </w:r>
          </w:p>
        </w:tc>
        <w:tc>
          <w:tcPr>
            <w:tcW w:w="142" w:type="dxa"/>
            <w:tcBorders>
              <w:top w:val="single" w:sz="4" w:space="0" w:color="auto"/>
            </w:tcBorders>
          </w:tcPr>
          <w:p w:rsidR="00160AAA" w:rsidRPr="00747A4B" w:rsidRDefault="00160AAA" w:rsidP="000658BA">
            <w:pPr>
              <w:pStyle w:val="Tabulka"/>
              <w:jc w:val="center"/>
              <w:rPr>
                <w:lang w:val="de-DE"/>
              </w:rPr>
            </w:pPr>
          </w:p>
        </w:tc>
        <w:tc>
          <w:tcPr>
            <w:tcW w:w="1701" w:type="dxa"/>
            <w:tcBorders>
              <w:top w:val="single" w:sz="4" w:space="0" w:color="auto"/>
            </w:tcBorders>
          </w:tcPr>
          <w:p w:rsidR="00160AAA" w:rsidRPr="00747A4B" w:rsidRDefault="00160AAA" w:rsidP="000658BA">
            <w:pPr>
              <w:pStyle w:val="Tabulka"/>
              <w:jc w:val="center"/>
              <w:rPr>
                <w:lang w:val="de-DE"/>
              </w:rPr>
            </w:pPr>
            <w:r w:rsidRPr="00747A4B">
              <w:rPr>
                <w:lang w:val="de-DE"/>
              </w:rPr>
              <w:t>2,5</w:t>
            </w:r>
          </w:p>
        </w:tc>
      </w:tr>
      <w:tr w:rsidR="00160AAA" w:rsidRPr="00747A4B" w:rsidTr="000658BA">
        <w:trPr>
          <w:trHeight w:val="250"/>
        </w:trPr>
        <w:tc>
          <w:tcPr>
            <w:tcW w:w="3402" w:type="dxa"/>
            <w:gridSpan w:val="2"/>
          </w:tcPr>
          <w:p w:rsidR="00160AAA" w:rsidRPr="00747A4B" w:rsidRDefault="00160AAA" w:rsidP="000658BA">
            <w:pPr>
              <w:pStyle w:val="Tabulka"/>
              <w:rPr>
                <w:lang w:val="de-DE"/>
              </w:rPr>
            </w:pPr>
            <w:r w:rsidRPr="00747A4B">
              <w:rPr>
                <w:lang w:val="de-DE"/>
              </w:rPr>
              <w:t>Maschinen, Geräte und Einrichtungen</w:t>
            </w:r>
          </w:p>
        </w:tc>
        <w:tc>
          <w:tcPr>
            <w:tcW w:w="1701" w:type="dxa"/>
          </w:tcPr>
          <w:p w:rsidR="00160AAA" w:rsidRPr="00747A4B" w:rsidRDefault="00160AAA" w:rsidP="000658BA">
            <w:pPr>
              <w:pStyle w:val="Tabulka"/>
              <w:jc w:val="center"/>
              <w:rPr>
                <w:lang w:val="de-DE"/>
              </w:rPr>
            </w:pPr>
            <w:r w:rsidRPr="00747A4B">
              <w:rPr>
                <w:lang w:val="de-DE"/>
              </w:rPr>
              <w:t>8 bis 12</w:t>
            </w:r>
          </w:p>
        </w:tc>
        <w:tc>
          <w:tcPr>
            <w:tcW w:w="141" w:type="dxa"/>
          </w:tcPr>
          <w:p w:rsidR="00160AAA" w:rsidRPr="00747A4B" w:rsidRDefault="00160AAA" w:rsidP="000658BA">
            <w:pPr>
              <w:pStyle w:val="Tabulka"/>
              <w:jc w:val="center"/>
              <w:rPr>
                <w:lang w:val="de-DE"/>
              </w:rPr>
            </w:pPr>
          </w:p>
        </w:tc>
        <w:tc>
          <w:tcPr>
            <w:tcW w:w="1701" w:type="dxa"/>
          </w:tcPr>
          <w:p w:rsidR="00160AAA" w:rsidRPr="00747A4B" w:rsidRDefault="00160AAA" w:rsidP="000658BA">
            <w:pPr>
              <w:pStyle w:val="Tabulka"/>
              <w:jc w:val="center"/>
              <w:rPr>
                <w:lang w:val="de-DE"/>
              </w:rPr>
            </w:pPr>
            <w:r w:rsidRPr="00747A4B">
              <w:rPr>
                <w:lang w:val="de-DE"/>
              </w:rPr>
              <w:t>linear</w:t>
            </w:r>
          </w:p>
        </w:tc>
        <w:tc>
          <w:tcPr>
            <w:tcW w:w="142" w:type="dxa"/>
          </w:tcPr>
          <w:p w:rsidR="00160AAA" w:rsidRPr="00747A4B" w:rsidRDefault="00160AAA" w:rsidP="000658BA">
            <w:pPr>
              <w:pStyle w:val="Tabulka"/>
              <w:jc w:val="center"/>
              <w:rPr>
                <w:lang w:val="de-DE"/>
              </w:rPr>
            </w:pPr>
          </w:p>
        </w:tc>
        <w:tc>
          <w:tcPr>
            <w:tcW w:w="1701" w:type="dxa"/>
          </w:tcPr>
          <w:p w:rsidR="00160AAA" w:rsidRPr="00747A4B" w:rsidRDefault="00160AAA" w:rsidP="000658BA">
            <w:pPr>
              <w:pStyle w:val="Tabulka"/>
              <w:jc w:val="center"/>
              <w:rPr>
                <w:lang w:val="de-DE"/>
              </w:rPr>
            </w:pPr>
            <w:r>
              <w:rPr>
                <w:lang w:val="de-DE"/>
              </w:rPr>
              <w:t>8,3</w:t>
            </w:r>
            <w:r w:rsidRPr="00747A4B">
              <w:rPr>
                <w:lang w:val="de-DE"/>
              </w:rPr>
              <w:t xml:space="preserve"> bis 12,5</w:t>
            </w:r>
          </w:p>
        </w:tc>
      </w:tr>
      <w:tr w:rsidR="00160AAA" w:rsidRPr="00747A4B" w:rsidTr="000658BA">
        <w:trPr>
          <w:trHeight w:val="250"/>
        </w:trPr>
        <w:tc>
          <w:tcPr>
            <w:tcW w:w="3402" w:type="dxa"/>
            <w:gridSpan w:val="2"/>
          </w:tcPr>
          <w:p w:rsidR="00160AAA" w:rsidRPr="00747A4B" w:rsidRDefault="00160AAA" w:rsidP="000658BA">
            <w:pPr>
              <w:pStyle w:val="Tabulka"/>
              <w:rPr>
                <w:lang w:val="de-DE"/>
              </w:rPr>
            </w:pPr>
            <w:r w:rsidRPr="00747A4B">
              <w:rPr>
                <w:lang w:val="de-DE"/>
              </w:rPr>
              <w:t>Transportmittel</w:t>
            </w:r>
          </w:p>
        </w:tc>
        <w:tc>
          <w:tcPr>
            <w:tcW w:w="1701" w:type="dxa"/>
          </w:tcPr>
          <w:p w:rsidR="00160AAA" w:rsidRPr="00747A4B" w:rsidRDefault="00160AAA" w:rsidP="000658BA">
            <w:pPr>
              <w:pStyle w:val="Tabulka"/>
              <w:jc w:val="center"/>
              <w:rPr>
                <w:lang w:val="de-DE"/>
              </w:rPr>
            </w:pPr>
            <w:r w:rsidRPr="00747A4B">
              <w:rPr>
                <w:lang w:val="de-DE"/>
              </w:rPr>
              <w:t>4 bis 6</w:t>
            </w:r>
          </w:p>
        </w:tc>
        <w:tc>
          <w:tcPr>
            <w:tcW w:w="141" w:type="dxa"/>
          </w:tcPr>
          <w:p w:rsidR="00160AAA" w:rsidRPr="00747A4B" w:rsidRDefault="00160AAA" w:rsidP="000658BA">
            <w:pPr>
              <w:pStyle w:val="Tabulka"/>
              <w:jc w:val="center"/>
              <w:rPr>
                <w:lang w:val="de-DE"/>
              </w:rPr>
            </w:pPr>
          </w:p>
        </w:tc>
        <w:tc>
          <w:tcPr>
            <w:tcW w:w="1701" w:type="dxa"/>
          </w:tcPr>
          <w:p w:rsidR="00160AAA" w:rsidRPr="00747A4B" w:rsidRDefault="00160AAA" w:rsidP="000658BA">
            <w:pPr>
              <w:pStyle w:val="Tabulka"/>
              <w:jc w:val="center"/>
              <w:rPr>
                <w:lang w:val="de-DE"/>
              </w:rPr>
            </w:pPr>
            <w:r w:rsidRPr="00747A4B">
              <w:rPr>
                <w:lang w:val="de-DE"/>
              </w:rPr>
              <w:t>degressiv</w:t>
            </w:r>
          </w:p>
        </w:tc>
        <w:tc>
          <w:tcPr>
            <w:tcW w:w="142" w:type="dxa"/>
          </w:tcPr>
          <w:p w:rsidR="00160AAA" w:rsidRPr="00747A4B" w:rsidRDefault="00160AAA" w:rsidP="000658BA">
            <w:pPr>
              <w:pStyle w:val="Tabulka"/>
              <w:jc w:val="center"/>
              <w:rPr>
                <w:lang w:val="de-DE"/>
              </w:rPr>
            </w:pPr>
          </w:p>
        </w:tc>
        <w:tc>
          <w:tcPr>
            <w:tcW w:w="1701" w:type="dxa"/>
          </w:tcPr>
          <w:p w:rsidR="00160AAA" w:rsidRPr="00747A4B" w:rsidRDefault="00160AAA" w:rsidP="000658BA">
            <w:pPr>
              <w:pStyle w:val="Tabulka"/>
              <w:jc w:val="center"/>
              <w:rPr>
                <w:lang w:val="de-DE"/>
              </w:rPr>
            </w:pPr>
            <w:r w:rsidRPr="00747A4B">
              <w:rPr>
                <w:lang w:val="de-DE"/>
              </w:rPr>
              <w:t>16 bis 30</w:t>
            </w:r>
          </w:p>
        </w:tc>
      </w:tr>
      <w:tr w:rsidR="00160AAA" w:rsidRPr="00747A4B" w:rsidTr="000658BA">
        <w:tblPrEx>
          <w:tblCellMar>
            <w:left w:w="108" w:type="dxa"/>
            <w:right w:w="108" w:type="dxa"/>
          </w:tblCellMar>
        </w:tblPrEx>
        <w:trPr>
          <w:trHeight w:val="250"/>
        </w:trPr>
        <w:tc>
          <w:tcPr>
            <w:tcW w:w="3402" w:type="dxa"/>
            <w:gridSpan w:val="2"/>
            <w:vAlign w:val="center"/>
          </w:tcPr>
          <w:p w:rsidR="00160AAA" w:rsidRPr="00747A4B" w:rsidRDefault="00160AAA" w:rsidP="000658BA">
            <w:pPr>
              <w:pStyle w:val="Tabulka"/>
              <w:ind w:hanging="84"/>
              <w:rPr>
                <w:lang w:val="de-DE"/>
              </w:rPr>
            </w:pPr>
            <w:r w:rsidRPr="00747A4B">
              <w:rPr>
                <w:lang w:val="de-DE"/>
              </w:rPr>
              <w:t>Geringwertige Sachanlagen</w:t>
            </w:r>
          </w:p>
        </w:tc>
        <w:tc>
          <w:tcPr>
            <w:tcW w:w="1701" w:type="dxa"/>
            <w:vAlign w:val="center"/>
          </w:tcPr>
          <w:p w:rsidR="00160AAA" w:rsidRPr="00747A4B" w:rsidRDefault="00160AAA" w:rsidP="000658BA">
            <w:pPr>
              <w:pStyle w:val="Tabulka"/>
              <w:jc w:val="center"/>
              <w:rPr>
                <w:lang w:val="de-DE"/>
              </w:rPr>
            </w:pPr>
            <w:r w:rsidRPr="00747A4B">
              <w:rPr>
                <w:lang w:val="de-DE"/>
              </w:rPr>
              <w:t>unterschiedlich</w:t>
            </w:r>
          </w:p>
        </w:tc>
        <w:tc>
          <w:tcPr>
            <w:tcW w:w="141" w:type="dxa"/>
            <w:vAlign w:val="center"/>
          </w:tcPr>
          <w:p w:rsidR="00160AAA" w:rsidRPr="00747A4B" w:rsidRDefault="00160AAA" w:rsidP="000658BA">
            <w:pPr>
              <w:pStyle w:val="Tabulka"/>
              <w:jc w:val="center"/>
              <w:rPr>
                <w:lang w:val="de-DE"/>
              </w:rPr>
            </w:pPr>
          </w:p>
        </w:tc>
        <w:tc>
          <w:tcPr>
            <w:tcW w:w="1701" w:type="dxa"/>
            <w:vAlign w:val="center"/>
          </w:tcPr>
          <w:p w:rsidR="00160AAA" w:rsidRPr="00747A4B" w:rsidRDefault="00160AAA" w:rsidP="000658BA">
            <w:pPr>
              <w:pStyle w:val="Tabulka"/>
              <w:jc w:val="center"/>
              <w:rPr>
                <w:lang w:val="de-DE"/>
              </w:rPr>
            </w:pPr>
            <w:r w:rsidRPr="00747A4B">
              <w:rPr>
                <w:lang w:val="de-DE"/>
              </w:rPr>
              <w:t>einmalige Abschreibung</w:t>
            </w:r>
          </w:p>
        </w:tc>
        <w:tc>
          <w:tcPr>
            <w:tcW w:w="142" w:type="dxa"/>
            <w:vAlign w:val="center"/>
          </w:tcPr>
          <w:p w:rsidR="00160AAA" w:rsidRPr="00747A4B" w:rsidRDefault="00160AAA" w:rsidP="000658BA">
            <w:pPr>
              <w:pStyle w:val="Tabulka"/>
              <w:jc w:val="center"/>
              <w:rPr>
                <w:lang w:val="de-DE"/>
              </w:rPr>
            </w:pPr>
          </w:p>
        </w:tc>
        <w:tc>
          <w:tcPr>
            <w:tcW w:w="1701" w:type="dxa"/>
            <w:vAlign w:val="center"/>
          </w:tcPr>
          <w:p w:rsidR="00160AAA" w:rsidRPr="00747A4B" w:rsidRDefault="00160AAA" w:rsidP="000658BA">
            <w:pPr>
              <w:pStyle w:val="Tabulka"/>
              <w:jc w:val="center"/>
              <w:rPr>
                <w:lang w:val="de-DE"/>
              </w:rPr>
            </w:pPr>
            <w:r w:rsidRPr="00747A4B">
              <w:rPr>
                <w:lang w:val="de-DE"/>
              </w:rPr>
              <w:t>100</w:t>
            </w:r>
          </w:p>
        </w:tc>
      </w:tr>
    </w:tbl>
    <w:p w:rsidR="00160AAA" w:rsidRDefault="00160AAA" w:rsidP="00160AAA">
      <w:pPr>
        <w:pStyle w:val="Pismenka"/>
        <w:numPr>
          <w:ilvl w:val="0"/>
          <w:numId w:val="0"/>
        </w:numPr>
        <w:rPr>
          <w:lang w:val="de-DE"/>
        </w:rPr>
      </w:pPr>
    </w:p>
    <w:p w:rsidR="00160AAA" w:rsidRPr="00CA1B1A" w:rsidRDefault="00C17A50" w:rsidP="00160AAA">
      <w:pPr>
        <w:pStyle w:val="Pismenka"/>
        <w:rPr>
          <w:lang w:val="de-DE"/>
        </w:rPr>
      </w:pPr>
      <w:r>
        <w:rPr>
          <w:lang w:val="de-DE"/>
        </w:rPr>
        <w:t>Wertpapiere und Anteile</w:t>
      </w:r>
    </w:p>
    <w:p w:rsidR="00160AAA" w:rsidRPr="00CA1B1A" w:rsidRDefault="00C17A50" w:rsidP="00160AAA">
      <w:pPr>
        <w:pStyle w:val="BodyText"/>
        <w:rPr>
          <w:lang w:val="de-DE"/>
        </w:rPr>
      </w:pPr>
      <w:r>
        <w:rPr>
          <w:lang w:val="de-DE"/>
        </w:rPr>
        <w:t xml:space="preserve">Wertpapiere und Anteile </w:t>
      </w:r>
      <w:r>
        <w:t xml:space="preserve">(außer der zum Handel bestimmten Wertpapiere) </w:t>
      </w:r>
      <w:r>
        <w:rPr>
          <w:lang w:val="de-DE"/>
        </w:rPr>
        <w:t xml:space="preserve">werden zu Anschaffungspreisen inkl. </w:t>
      </w:r>
      <w:r w:rsidR="00E5037F">
        <w:rPr>
          <w:lang w:val="de-DE"/>
        </w:rPr>
        <w:t>d</w:t>
      </w:r>
      <w:r w:rsidR="00D96883">
        <w:rPr>
          <w:lang w:val="de-DE"/>
        </w:rPr>
        <w:t xml:space="preserve">er </w:t>
      </w:r>
      <w:r>
        <w:rPr>
          <w:lang w:val="de-DE"/>
        </w:rPr>
        <w:t xml:space="preserve">Anschaffungsnebenkosten bewertet. Die Wertminderungen von Wertpapieren und Anteilen werden vom Anschaffungspreis abgezogen.  </w:t>
      </w:r>
    </w:p>
    <w:p w:rsidR="00160AAA" w:rsidRPr="00CA1B1A" w:rsidRDefault="00160AAA" w:rsidP="00160AAA">
      <w:pPr>
        <w:pStyle w:val="BodyText"/>
        <w:rPr>
          <w:lang w:val="de-DE"/>
        </w:rPr>
      </w:pPr>
    </w:p>
    <w:p w:rsidR="00D1702A" w:rsidRDefault="00C17A50" w:rsidP="00160AAA">
      <w:pPr>
        <w:pStyle w:val="BodyText"/>
        <w:rPr>
          <w:lang w:val="de-DE"/>
        </w:rPr>
      </w:pPr>
      <w:r>
        <w:rPr>
          <w:lang w:val="de-DE"/>
        </w:rPr>
        <w:t>Die zum Handel bestimmten Wertpapiere werden bei deren Anschaffung zum Realwert [fair value] bewertet.</w:t>
      </w:r>
    </w:p>
    <w:p w:rsidR="00D1702A" w:rsidRPr="00AE5512" w:rsidRDefault="00D1702A" w:rsidP="00160AAA">
      <w:pPr>
        <w:pStyle w:val="BodyText"/>
        <w:rPr>
          <w:lang w:val="de-DE"/>
        </w:rPr>
      </w:pPr>
    </w:p>
    <w:p w:rsidR="00160AAA" w:rsidRDefault="00160AAA" w:rsidP="00160AAA">
      <w:pPr>
        <w:pStyle w:val="Pismenka"/>
        <w:rPr>
          <w:lang w:val="de-DE"/>
        </w:rPr>
      </w:pPr>
      <w:r w:rsidRPr="00AE5512">
        <w:rPr>
          <w:lang w:val="de-DE"/>
        </w:rPr>
        <w:t xml:space="preserve">Vorräte </w:t>
      </w:r>
    </w:p>
    <w:p w:rsidR="00160AAA" w:rsidRPr="00FB247B" w:rsidRDefault="00160AAA" w:rsidP="00160AAA">
      <w:pPr>
        <w:pStyle w:val="Pismenka"/>
        <w:numPr>
          <w:ilvl w:val="0"/>
          <w:numId w:val="0"/>
        </w:numPr>
        <w:ind w:left="426"/>
        <w:rPr>
          <w:b w:val="0"/>
          <w:lang w:val="de-DE"/>
        </w:rPr>
      </w:pPr>
      <w:r w:rsidRPr="00FB247B">
        <w:rPr>
          <w:b w:val="0"/>
          <w:lang w:val="de-DE"/>
        </w:rPr>
        <w:t xml:space="preserve">Die Vorräte </w:t>
      </w:r>
      <w:r w:rsidR="00D96883">
        <w:rPr>
          <w:b w:val="0"/>
          <w:lang w:val="de-DE"/>
        </w:rPr>
        <w:t>werden</w:t>
      </w:r>
      <w:r w:rsidR="00D96883" w:rsidRPr="00FB247B">
        <w:rPr>
          <w:b w:val="0"/>
          <w:lang w:val="de-DE"/>
        </w:rPr>
        <w:t xml:space="preserve"> </w:t>
      </w:r>
      <w:r w:rsidRPr="00FB247B">
        <w:rPr>
          <w:b w:val="0"/>
          <w:lang w:val="de-DE"/>
        </w:rPr>
        <w:t>mit dem niedrigeren Wert aus Anschaffungs- (eingekaufte Vorräte) - oder Herstellungskosten (selbsterstellte Vorräte) und Nettoveräu</w:t>
      </w:r>
      <w:r w:rsidRPr="001F7014">
        <w:rPr>
          <w:b w:val="0"/>
          <w:lang w:val="de-DE"/>
        </w:rPr>
        <w:t>ß</w:t>
      </w:r>
      <w:r w:rsidRPr="00FB247B">
        <w:rPr>
          <w:b w:val="0"/>
          <w:lang w:val="de-DE"/>
        </w:rPr>
        <w:t>erungswert bewerte</w:t>
      </w:r>
      <w:r w:rsidR="00D96883">
        <w:rPr>
          <w:b w:val="0"/>
          <w:lang w:val="de-DE"/>
        </w:rPr>
        <w:t>t</w:t>
      </w:r>
      <w:r w:rsidRPr="00FB247B">
        <w:rPr>
          <w:b w:val="0"/>
          <w:lang w:val="de-DE"/>
        </w:rPr>
        <w:t>.</w:t>
      </w:r>
    </w:p>
    <w:p w:rsidR="00160AAA" w:rsidRPr="00FB247B" w:rsidRDefault="00160AAA" w:rsidP="00160AAA">
      <w:pPr>
        <w:pStyle w:val="Pismenka"/>
        <w:numPr>
          <w:ilvl w:val="0"/>
          <w:numId w:val="0"/>
        </w:numPr>
        <w:ind w:left="426"/>
        <w:rPr>
          <w:b w:val="0"/>
          <w:lang w:val="de-DE"/>
        </w:rPr>
      </w:pPr>
    </w:p>
    <w:p w:rsidR="00160AAA" w:rsidRPr="00FB247B" w:rsidRDefault="00160AAA" w:rsidP="00160AAA">
      <w:pPr>
        <w:pStyle w:val="BodyText"/>
        <w:rPr>
          <w:lang w:val="de-DE"/>
        </w:rPr>
      </w:pPr>
      <w:r w:rsidRPr="00FB247B">
        <w:rPr>
          <w:lang w:val="de-DE"/>
        </w:rPr>
        <w:t>D</w:t>
      </w:r>
      <w:r w:rsidR="00D96883">
        <w:rPr>
          <w:lang w:val="de-DE"/>
        </w:rPr>
        <w:t>ie</w:t>
      </w:r>
      <w:r w:rsidRPr="00FB247B">
        <w:rPr>
          <w:lang w:val="de-DE"/>
        </w:rPr>
        <w:t xml:space="preserve"> Anschaffungs</w:t>
      </w:r>
      <w:r w:rsidR="00D96883">
        <w:rPr>
          <w:lang w:val="de-DE"/>
        </w:rPr>
        <w:t>kosten</w:t>
      </w:r>
      <w:r w:rsidRPr="00FB247B">
        <w:rPr>
          <w:lang w:val="de-DE"/>
        </w:rPr>
        <w:t xml:space="preserve"> besteh</w:t>
      </w:r>
      <w:r w:rsidR="00D96883">
        <w:rPr>
          <w:lang w:val="de-DE"/>
        </w:rPr>
        <w:t>en</w:t>
      </w:r>
      <w:r w:rsidRPr="00FB247B">
        <w:rPr>
          <w:lang w:val="de-DE"/>
        </w:rPr>
        <w:t xml:space="preserve"> aus dem Preis der Anschaffung und den Anschaffungsnebenkosten (Zoll, Transport, Versicherungsprämien, Provisionen, Skonto u.ä.). Die Fremdkapitalzinsen sind nicht Bestandteil de</w:t>
      </w:r>
      <w:r w:rsidR="00D96883">
        <w:rPr>
          <w:lang w:val="de-DE"/>
        </w:rPr>
        <w:t>r</w:t>
      </w:r>
      <w:r w:rsidRPr="00FB247B">
        <w:rPr>
          <w:lang w:val="de-DE"/>
        </w:rPr>
        <w:t xml:space="preserve"> Anschaffungs</w:t>
      </w:r>
      <w:r w:rsidR="00D96883">
        <w:rPr>
          <w:lang w:val="de-DE"/>
        </w:rPr>
        <w:t>kosten</w:t>
      </w:r>
      <w:r w:rsidRPr="00FB247B">
        <w:rPr>
          <w:lang w:val="de-DE"/>
        </w:rPr>
        <w:t>. Eingekaufte Vorräte werden zum gewogenen Durchschnittswert der Anschaffungs</w:t>
      </w:r>
      <w:r w:rsidR="00D96883">
        <w:rPr>
          <w:lang w:val="de-DE"/>
        </w:rPr>
        <w:t>kosten</w:t>
      </w:r>
      <w:r w:rsidRPr="00FB247B">
        <w:rPr>
          <w:lang w:val="de-DE"/>
        </w:rPr>
        <w:t xml:space="preserve"> bewertet.  </w:t>
      </w:r>
    </w:p>
    <w:p w:rsidR="00160AAA" w:rsidRPr="00FB247B" w:rsidRDefault="00160AAA" w:rsidP="00160AAA">
      <w:pPr>
        <w:pStyle w:val="BodyText"/>
        <w:rPr>
          <w:lang w:val="de-DE"/>
        </w:rPr>
      </w:pPr>
    </w:p>
    <w:p w:rsidR="00160AAA" w:rsidRPr="00734D33" w:rsidRDefault="00160AAA" w:rsidP="00160AAA">
      <w:pPr>
        <w:pStyle w:val="BodyText"/>
        <w:rPr>
          <w:lang w:val="de-DE"/>
        </w:rPr>
      </w:pPr>
      <w:r w:rsidRPr="00734D33">
        <w:rPr>
          <w:lang w:val="de-DE"/>
        </w:rPr>
        <w:t>Die Selbstkosten [Herstellungskosten] setzen sich aus den direkten Kosten (direktes Material, direkte Löhne und sonstige direkte Kosten) und aus einem Teil der indirekten Kosten, die mit der Herstellung der Vorräte durch eigene Tätigkeit unmittelbar zusammenhängen (Fertigungsgemeinkosten), zusammen. Die Fertigungsgemeinkosten werden unter Berücksichtigung des Fertigstellungsgrades (Anarbeitungsgrades) dieser Vorräte, in die Selbstkosten [Herstellungskosten]</w:t>
      </w:r>
      <w:r>
        <w:rPr>
          <w:lang w:val="de-DE"/>
        </w:rPr>
        <w:t xml:space="preserve"> </w:t>
      </w:r>
      <w:r w:rsidRPr="00734D33">
        <w:rPr>
          <w:lang w:val="de-DE"/>
        </w:rPr>
        <w:t>einbezogen. Die Verwaltungsgemeinkosten un</w:t>
      </w:r>
      <w:r>
        <w:rPr>
          <w:lang w:val="de-DE"/>
        </w:rPr>
        <w:t>d die Vertriebskosten sind nicht</w:t>
      </w:r>
      <w:r w:rsidRPr="00734D33">
        <w:rPr>
          <w:lang w:val="de-DE"/>
        </w:rPr>
        <w:t xml:space="preserve"> Bestandteil der Selbstkosten [Herstellungskosten]. </w:t>
      </w:r>
      <w:r w:rsidRPr="001F7014">
        <w:rPr>
          <w:lang w:val="de-DE"/>
        </w:rPr>
        <w:t xml:space="preserve">Die Fremdkapitalzinsen sind nicht Bestandteil der Selbstkosten </w:t>
      </w:r>
      <w:bookmarkStart w:id="11" w:name="OLE_LINK1"/>
      <w:bookmarkStart w:id="12" w:name="OLE_LINK2"/>
      <w:r w:rsidRPr="001F7014">
        <w:rPr>
          <w:lang w:val="de-DE"/>
        </w:rPr>
        <w:t>[Herstellungskosten].</w:t>
      </w:r>
      <w:r w:rsidRPr="00734D33">
        <w:rPr>
          <w:lang w:val="de-DE"/>
        </w:rPr>
        <w:t xml:space="preserve"> </w:t>
      </w:r>
      <w:bookmarkEnd w:id="11"/>
      <w:bookmarkEnd w:id="12"/>
    </w:p>
    <w:p w:rsidR="00160AAA" w:rsidRPr="00FB247B" w:rsidRDefault="00160AAA" w:rsidP="00160AAA">
      <w:pPr>
        <w:pStyle w:val="BodyText"/>
        <w:rPr>
          <w:lang w:val="de-DE"/>
        </w:rPr>
      </w:pPr>
    </w:p>
    <w:p w:rsidR="00160AAA" w:rsidRPr="00FB247B" w:rsidRDefault="00160AAA" w:rsidP="00160AAA">
      <w:pPr>
        <w:autoSpaceDE w:val="0"/>
        <w:autoSpaceDN w:val="0"/>
        <w:adjustRightInd w:val="0"/>
        <w:ind w:left="426"/>
        <w:jc w:val="both"/>
        <w:rPr>
          <w:rFonts w:cs="Arial"/>
          <w:sz w:val="18"/>
          <w:szCs w:val="18"/>
          <w:lang w:val="de-DE"/>
        </w:rPr>
      </w:pPr>
      <w:r w:rsidRPr="00FB247B">
        <w:rPr>
          <w:rFonts w:cs="Arial"/>
          <w:sz w:val="18"/>
          <w:szCs w:val="18"/>
          <w:lang w:val="de-DE"/>
        </w:rPr>
        <w:t>Der Nettoveräußerungswert ist der geschätzte Verkaufserlös, abzüglich der geschätzten Kosten bis zur Fertigstellung und der geschätzten notwendigen Vertriebskosten.</w:t>
      </w:r>
    </w:p>
    <w:p w:rsidR="00160AAA" w:rsidRPr="00FB247B" w:rsidRDefault="00160AAA" w:rsidP="00160AAA">
      <w:pPr>
        <w:pStyle w:val="BodyText"/>
        <w:rPr>
          <w:szCs w:val="18"/>
          <w:lang w:val="de-DE"/>
        </w:rPr>
      </w:pPr>
    </w:p>
    <w:p w:rsidR="00160AAA" w:rsidRPr="00FB247B" w:rsidRDefault="00160AAA" w:rsidP="00160AAA">
      <w:pPr>
        <w:pStyle w:val="BodyText"/>
        <w:rPr>
          <w:lang w:val="de-DE"/>
        </w:rPr>
      </w:pPr>
      <w:r w:rsidRPr="00FB247B">
        <w:rPr>
          <w:lang w:val="de-DE"/>
        </w:rPr>
        <w:t xml:space="preserve">Die Wertminderung von Vorräten wird durch die Wertberichtigung </w:t>
      </w:r>
      <w:r w:rsidR="00D96883">
        <w:rPr>
          <w:lang w:val="de-DE"/>
        </w:rPr>
        <w:t>ber</w:t>
      </w:r>
      <w:r w:rsidR="00D96883" w:rsidRPr="0008297F">
        <w:rPr>
          <w:lang w:val="de-DE"/>
        </w:rPr>
        <w:t>ü</w:t>
      </w:r>
      <w:r w:rsidR="00D96883">
        <w:rPr>
          <w:lang w:val="de-DE"/>
        </w:rPr>
        <w:t>cksichtigt</w:t>
      </w:r>
      <w:r w:rsidRPr="00FB247B">
        <w:rPr>
          <w:lang w:val="de-DE"/>
        </w:rPr>
        <w:t>.</w:t>
      </w:r>
    </w:p>
    <w:p w:rsidR="00160AAA" w:rsidRPr="00FB247B" w:rsidRDefault="00160AAA" w:rsidP="00160AAA">
      <w:pPr>
        <w:pStyle w:val="BodyText"/>
        <w:rPr>
          <w:lang w:val="de-DE"/>
        </w:rPr>
      </w:pPr>
    </w:p>
    <w:p w:rsidR="00160AAA" w:rsidRPr="00FB247B" w:rsidRDefault="00160AAA" w:rsidP="00160AAA">
      <w:pPr>
        <w:pStyle w:val="Pismenka"/>
        <w:rPr>
          <w:lang w:val="de-DE"/>
        </w:rPr>
      </w:pPr>
      <w:r w:rsidRPr="00FB247B">
        <w:rPr>
          <w:lang w:val="de-DE"/>
        </w:rPr>
        <w:t>Fertigungsaufträge</w:t>
      </w:r>
    </w:p>
    <w:p w:rsidR="00160AAA" w:rsidRDefault="00160AAA" w:rsidP="00160AAA">
      <w:pPr>
        <w:pStyle w:val="BodyText"/>
        <w:rPr>
          <w:lang w:val="de-DE"/>
        </w:rPr>
      </w:pPr>
      <w:r w:rsidRPr="00FB247B">
        <w:rPr>
          <w:lang w:val="de-DE"/>
        </w:rPr>
        <w:t>Fertigungsaufträge werden gemäß dem Fertigstellungsgrad des Auftrages (engl. percentage-of-completion-method) ausgewiesen.</w:t>
      </w:r>
    </w:p>
    <w:p w:rsidR="004E3686" w:rsidRDefault="004E3686" w:rsidP="00160AAA">
      <w:pPr>
        <w:pStyle w:val="BodyText"/>
        <w:rPr>
          <w:lang w:val="de-DE"/>
        </w:rPr>
      </w:pPr>
    </w:p>
    <w:p w:rsidR="004E3686" w:rsidRPr="00BC6DED" w:rsidRDefault="009A1811" w:rsidP="004E3686">
      <w:pPr>
        <w:pStyle w:val="Pismenka"/>
        <w:rPr>
          <w:lang w:val="de-DE"/>
        </w:rPr>
      </w:pPr>
      <w:r w:rsidRPr="009A1811">
        <w:rPr>
          <w:lang w:val="de-DE"/>
        </w:rPr>
        <w:t>Fertigungsbau einer Immobilie</w:t>
      </w:r>
    </w:p>
    <w:p w:rsidR="003A3E9A" w:rsidRDefault="003A3E9A">
      <w:pPr>
        <w:pStyle w:val="Pismenka"/>
        <w:numPr>
          <w:ilvl w:val="0"/>
          <w:numId w:val="0"/>
        </w:numPr>
        <w:rPr>
          <w:b w:val="0"/>
          <w:lang w:val="de-DE"/>
        </w:rPr>
      </w:pPr>
    </w:p>
    <w:p w:rsidR="004E3686" w:rsidRPr="00BC6DED" w:rsidRDefault="009A1811" w:rsidP="004E3686">
      <w:pPr>
        <w:pStyle w:val="BodyText"/>
        <w:rPr>
          <w:b/>
          <w:i/>
          <w:lang w:val="de-DE"/>
        </w:rPr>
      </w:pPr>
      <w:r w:rsidRPr="009A1811">
        <w:rPr>
          <w:b/>
          <w:i/>
          <w:lang w:val="de-DE"/>
        </w:rPr>
        <w:t>Fertigungsbau einer Immobilie – continuous transfer</w:t>
      </w:r>
    </w:p>
    <w:p w:rsidR="004E3686" w:rsidRPr="00BC6DED" w:rsidRDefault="009A1811" w:rsidP="004E3686">
      <w:pPr>
        <w:pStyle w:val="BodyText"/>
        <w:rPr>
          <w:lang w:val="de-DE"/>
        </w:rPr>
      </w:pPr>
      <w:r w:rsidRPr="009A1811">
        <w:rPr>
          <w:lang w:val="de-DE"/>
        </w:rPr>
        <w:t xml:space="preserve">Der Fertigungsbau einer zum Verkauf bestimmten Immobilie wird nach </w:t>
      </w:r>
      <w:r w:rsidR="00902E41" w:rsidRPr="00BC6DED">
        <w:rPr>
          <w:bCs/>
          <w:lang w:val="de-DE"/>
        </w:rPr>
        <w:t>der Methode der Gewinnrealisierung nach dem Fertigstellungsgrad ausgewiesen</w:t>
      </w:r>
      <w:r w:rsidR="00D96883">
        <w:rPr>
          <w:bCs/>
          <w:lang w:val="de-DE"/>
        </w:rPr>
        <w:t>.</w:t>
      </w:r>
      <w:r w:rsidRPr="009A1811">
        <w:rPr>
          <w:lang w:val="de-DE"/>
        </w:rPr>
        <w:t xml:space="preserve"> </w:t>
      </w:r>
    </w:p>
    <w:p w:rsidR="004E3686" w:rsidRPr="00BC6DED" w:rsidRDefault="004E3686" w:rsidP="004E3686">
      <w:pPr>
        <w:pStyle w:val="BodyText"/>
        <w:rPr>
          <w:lang w:val="de-DE"/>
        </w:rPr>
      </w:pPr>
    </w:p>
    <w:p w:rsidR="004E3686" w:rsidRPr="00BC6DED" w:rsidRDefault="009A1811" w:rsidP="004E3686">
      <w:pPr>
        <w:pStyle w:val="BodyText"/>
        <w:rPr>
          <w:b/>
          <w:i/>
          <w:lang w:val="de-DE"/>
        </w:rPr>
      </w:pPr>
      <w:r w:rsidRPr="009A1811">
        <w:rPr>
          <w:b/>
          <w:i/>
          <w:lang w:val="de-DE"/>
        </w:rPr>
        <w:t xml:space="preserve">Fertigungsbau einer Immobilie – sonstiges (nicht continuous transfer) </w:t>
      </w:r>
    </w:p>
    <w:p w:rsidR="004E3686" w:rsidRDefault="009A1811" w:rsidP="004E3686">
      <w:pPr>
        <w:pStyle w:val="BodyText"/>
        <w:rPr>
          <w:lang w:val="de-DE"/>
        </w:rPr>
      </w:pPr>
      <w:r w:rsidRPr="009A1811">
        <w:rPr>
          <w:lang w:val="de-DE"/>
        </w:rPr>
        <w:t xml:space="preserve">Der Fertigungsbau einer zum Verkauf bestimmten Immobilie  - sonstiges (nicht continuous transfer) wird mit der sog. Nullgewinnmethode ausgewiesen, d.h., dass der Gewinn </w:t>
      </w:r>
      <w:r w:rsidR="00D96883">
        <w:rPr>
          <w:lang w:val="de-DE"/>
        </w:rPr>
        <w:t xml:space="preserve">erst </w:t>
      </w:r>
      <w:r w:rsidRPr="009A1811">
        <w:rPr>
          <w:lang w:val="de-DE"/>
        </w:rPr>
        <w:t>beim Verkauf der Immobilie ausgewiesen wird.</w:t>
      </w:r>
    </w:p>
    <w:p w:rsidR="008B1BAB" w:rsidRPr="00BC6DED" w:rsidRDefault="008B1BAB" w:rsidP="004E3686">
      <w:pPr>
        <w:pStyle w:val="BodyText"/>
        <w:rPr>
          <w:lang w:val="de-DE"/>
        </w:rPr>
      </w:pPr>
    </w:p>
    <w:p w:rsidR="00160AAA" w:rsidRPr="00AE5512" w:rsidRDefault="00160AAA" w:rsidP="00160AAA">
      <w:pPr>
        <w:pStyle w:val="Pismenka"/>
        <w:rPr>
          <w:lang w:val="de-DE"/>
        </w:rPr>
      </w:pPr>
      <w:r w:rsidRPr="00AE5512">
        <w:rPr>
          <w:lang w:val="de-DE"/>
        </w:rPr>
        <w:t>Forderungen</w:t>
      </w:r>
    </w:p>
    <w:p w:rsidR="00160AAA" w:rsidRPr="00AE5512" w:rsidRDefault="00160AAA" w:rsidP="00160AAA">
      <w:pPr>
        <w:pStyle w:val="BodyText"/>
        <w:rPr>
          <w:lang w:val="de-DE"/>
        </w:rPr>
      </w:pPr>
      <w:r w:rsidRPr="00AE5512">
        <w:rPr>
          <w:lang w:val="de-DE"/>
        </w:rPr>
        <w:t xml:space="preserve">Forderungen werden bei deren Entstehung zu Nominalwerten bewertet. Abgetretene Forderungen und Forderungen die durch </w:t>
      </w:r>
      <w:r w:rsidR="00D96883">
        <w:rPr>
          <w:lang w:val="de-DE"/>
        </w:rPr>
        <w:t>E</w:t>
      </w:r>
      <w:r w:rsidRPr="00AE5512">
        <w:rPr>
          <w:lang w:val="de-DE"/>
        </w:rPr>
        <w:t>inlage in das gezeichnete Kapital erworben wurden, werden zu Anschaffungs</w:t>
      </w:r>
      <w:r w:rsidR="00D96883">
        <w:rPr>
          <w:lang w:val="de-DE"/>
        </w:rPr>
        <w:t>kosten</w:t>
      </w:r>
      <w:r w:rsidRPr="00AE5512">
        <w:rPr>
          <w:lang w:val="de-DE"/>
        </w:rPr>
        <w:t xml:space="preserve"> inkl. Anschaffungsnebenkosten bewertet.</w:t>
      </w:r>
    </w:p>
    <w:p w:rsidR="00160AAA" w:rsidRDefault="00160AAA" w:rsidP="00160AAA">
      <w:pPr>
        <w:pStyle w:val="BodyText"/>
        <w:rPr>
          <w:lang w:val="de-DE"/>
        </w:rPr>
      </w:pPr>
      <w:r w:rsidRPr="00AE5512">
        <w:rPr>
          <w:lang w:val="de-DE"/>
        </w:rPr>
        <w:t>Die Wertberichtigungen für uneinbringliche Forderungen werden abgezogen.</w:t>
      </w:r>
    </w:p>
    <w:p w:rsidR="00160AAA" w:rsidRPr="00AE5512" w:rsidRDefault="00160AAA" w:rsidP="00160AAA">
      <w:pPr>
        <w:pStyle w:val="BodyText"/>
        <w:rPr>
          <w:lang w:val="de-DE"/>
        </w:rPr>
      </w:pPr>
    </w:p>
    <w:p w:rsidR="00160AAA" w:rsidRPr="0008297F" w:rsidRDefault="00160AAA" w:rsidP="00160AAA">
      <w:pPr>
        <w:pStyle w:val="Pismenka"/>
        <w:rPr>
          <w:lang w:val="de-DE"/>
        </w:rPr>
      </w:pPr>
      <w:r w:rsidRPr="0008297F">
        <w:rPr>
          <w:lang w:val="de-DE"/>
        </w:rPr>
        <w:t>Zahlungsmittel und Wertmarken</w:t>
      </w:r>
    </w:p>
    <w:p w:rsidR="00160AAA" w:rsidRDefault="00160AAA" w:rsidP="00160AAA">
      <w:pPr>
        <w:pStyle w:val="BodyText"/>
        <w:rPr>
          <w:lang w:val="de-DE"/>
        </w:rPr>
      </w:pPr>
      <w:r w:rsidRPr="0008297F">
        <w:rPr>
          <w:lang w:val="de-DE"/>
        </w:rPr>
        <w:t>Zahlungsmittel und Wertmarken werden zu Nominalwerten abzüglich Wertberichtigungen bewertet.</w:t>
      </w:r>
    </w:p>
    <w:p w:rsidR="00160AAA" w:rsidRPr="0008297F" w:rsidRDefault="00160AAA" w:rsidP="00160AAA">
      <w:pPr>
        <w:pStyle w:val="Pismenka"/>
        <w:rPr>
          <w:lang w:val="de-DE"/>
        </w:rPr>
      </w:pPr>
      <w:r w:rsidRPr="0008297F">
        <w:rPr>
          <w:lang w:val="de-DE"/>
        </w:rPr>
        <w:lastRenderedPageBreak/>
        <w:t>Aufwendungen künftiger Perioden und Einnahmen künftiger Perioden</w:t>
      </w:r>
    </w:p>
    <w:p w:rsidR="00160AAA" w:rsidRDefault="00160AAA" w:rsidP="00160AAA">
      <w:pPr>
        <w:pStyle w:val="BodyText"/>
        <w:rPr>
          <w:lang w:val="de-DE"/>
        </w:rPr>
      </w:pPr>
      <w:r w:rsidRPr="0008297F">
        <w:rPr>
          <w:lang w:val="de-DE"/>
        </w:rPr>
        <w:t xml:space="preserve">Aufwendungen künftiger Perioden und Einnahmen künftiger Perioden werden in der Höhe ausgewiesen, die zur Einhaltung des Grundsatzes des zeitlichen und sachlichen Zusammenhanges mit dem Geschäftsjahr erforderlich ist.  </w:t>
      </w:r>
    </w:p>
    <w:p w:rsidR="00160AAA" w:rsidRDefault="00160AAA" w:rsidP="00160AAA">
      <w:pPr>
        <w:pStyle w:val="BodyText"/>
        <w:rPr>
          <w:lang w:val="de-DE"/>
        </w:rPr>
      </w:pPr>
    </w:p>
    <w:p w:rsidR="00160AAA" w:rsidRPr="00020726" w:rsidRDefault="00160AAA" w:rsidP="00160AAA">
      <w:pPr>
        <w:pStyle w:val="Pismenka"/>
        <w:rPr>
          <w:lang w:val="de-DE"/>
        </w:rPr>
      </w:pPr>
      <w:r w:rsidRPr="00020726">
        <w:rPr>
          <w:lang w:val="de-DE"/>
        </w:rPr>
        <w:t>Rückstellungen</w:t>
      </w:r>
    </w:p>
    <w:p w:rsidR="00160AAA" w:rsidRPr="00020726" w:rsidRDefault="00160AAA" w:rsidP="00160AAA">
      <w:pPr>
        <w:pStyle w:val="BodyText"/>
        <w:rPr>
          <w:lang w:val="de-DE"/>
        </w:rPr>
      </w:pPr>
      <w:r w:rsidRPr="00020726">
        <w:rPr>
          <w:lang w:val="de-DE"/>
        </w:rPr>
        <w:t>Rückstellungen sind Verbindlichkeiten mit einer unbestimmten zeitlichen Abgrenzung oder</w:t>
      </w:r>
      <w:r>
        <w:rPr>
          <w:lang w:val="de-DE"/>
        </w:rPr>
        <w:t xml:space="preserve"> </w:t>
      </w:r>
      <w:r w:rsidRPr="00020726">
        <w:rPr>
          <w:lang w:val="de-DE"/>
        </w:rPr>
        <w:t>Höhe und werden zur Deckung von bekannten Risiken oder Verlusten aus der Unternehmen</w:t>
      </w:r>
      <w:r>
        <w:rPr>
          <w:lang w:val="de-DE"/>
        </w:rPr>
        <w:t>stätigkeit gebildet. Sie werden zu</w:t>
      </w:r>
      <w:r w:rsidRPr="00020726">
        <w:rPr>
          <w:lang w:val="de-DE"/>
        </w:rPr>
        <w:t xml:space="preserve"> der erwarteten Höhe der Verbindlichkeit bewertet.  </w:t>
      </w:r>
    </w:p>
    <w:p w:rsidR="00160AAA" w:rsidRDefault="00160AAA" w:rsidP="00160AAA">
      <w:pPr>
        <w:pStyle w:val="Pismenka"/>
        <w:numPr>
          <w:ilvl w:val="0"/>
          <w:numId w:val="0"/>
        </w:numPr>
        <w:ind w:left="426" w:hanging="426"/>
        <w:rPr>
          <w:lang w:val="de-DE"/>
        </w:rPr>
      </w:pPr>
    </w:p>
    <w:p w:rsidR="00160AAA" w:rsidRPr="00020726" w:rsidRDefault="00160AAA" w:rsidP="00160AAA">
      <w:pPr>
        <w:pStyle w:val="Pismenka"/>
        <w:rPr>
          <w:lang w:val="de-DE"/>
        </w:rPr>
      </w:pPr>
      <w:r w:rsidRPr="00020726">
        <w:rPr>
          <w:lang w:val="de-DE"/>
        </w:rPr>
        <w:t>Verbindlichkeiten</w:t>
      </w:r>
    </w:p>
    <w:p w:rsidR="00160AAA" w:rsidRPr="00020726" w:rsidRDefault="00160AAA" w:rsidP="00160AAA">
      <w:pPr>
        <w:pStyle w:val="BodyText"/>
        <w:rPr>
          <w:sz w:val="24"/>
          <w:lang w:val="de-DE"/>
        </w:rPr>
      </w:pPr>
      <w:r w:rsidRPr="00EB0248">
        <w:rPr>
          <w:lang w:val="de-DE"/>
        </w:rPr>
        <w:t xml:space="preserve">Verbindlichkeiten werden bei ihrer Entstehung zu Nominalwerten bewertet. Verbindlichkeiten werden bei ihrer Übernahme zu Anschaffungspreisen bewertet. </w:t>
      </w:r>
      <w:r w:rsidRPr="00020726">
        <w:rPr>
          <w:lang w:val="de-DE"/>
        </w:rPr>
        <w:t xml:space="preserve"> Soweit bei der Inventarisierung festgestellt wird, dass die Summe d</w:t>
      </w:r>
      <w:r>
        <w:rPr>
          <w:lang w:val="de-DE"/>
        </w:rPr>
        <w:t>er Ver</w:t>
      </w:r>
      <w:r>
        <w:rPr>
          <w:lang w:val="de-DE"/>
        </w:rPr>
        <w:softHyphen/>
        <w:t>bindlichkeiten</w:t>
      </w:r>
      <w:r w:rsidRPr="00020726">
        <w:rPr>
          <w:lang w:val="de-DE"/>
        </w:rPr>
        <w:t xml:space="preserve"> von dem in der Buchhaltung erfassten Betrag </w:t>
      </w:r>
      <w:r w:rsidRPr="001F7014">
        <w:rPr>
          <w:lang w:val="de-DE"/>
        </w:rPr>
        <w:t>abweicht</w:t>
      </w:r>
      <w:r w:rsidRPr="00020726">
        <w:rPr>
          <w:lang w:val="de-DE"/>
        </w:rPr>
        <w:t>, sind die Verbind</w:t>
      </w:r>
      <w:r w:rsidRPr="00020726">
        <w:rPr>
          <w:lang w:val="de-DE"/>
        </w:rPr>
        <w:softHyphen/>
        <w:t>lichkeiten in der Buchhal</w:t>
      </w:r>
      <w:r w:rsidRPr="00020726">
        <w:rPr>
          <w:lang w:val="de-DE"/>
        </w:rPr>
        <w:softHyphen/>
        <w:t xml:space="preserve">tung und im Jahresabschluss mit diesem festgestellten Wertansatz auszuweisen. </w:t>
      </w:r>
    </w:p>
    <w:p w:rsidR="00160AAA" w:rsidRPr="008B1BAB" w:rsidRDefault="00160AAA" w:rsidP="00160AAA">
      <w:pPr>
        <w:pStyle w:val="BodyText"/>
        <w:rPr>
          <w:szCs w:val="18"/>
          <w:lang w:val="de-DE"/>
        </w:rPr>
      </w:pPr>
    </w:p>
    <w:p w:rsidR="00160AAA" w:rsidRPr="00020726" w:rsidRDefault="00160AAA" w:rsidP="00160AAA">
      <w:pPr>
        <w:pStyle w:val="Pismenka"/>
        <w:rPr>
          <w:lang w:val="de-DE"/>
        </w:rPr>
      </w:pPr>
      <w:r>
        <w:rPr>
          <w:lang w:val="de-DE"/>
        </w:rPr>
        <w:t>Latente Steuer</w:t>
      </w:r>
      <w:r w:rsidRPr="00020726">
        <w:rPr>
          <w:lang w:val="de-DE"/>
        </w:rPr>
        <w:t>n</w:t>
      </w:r>
    </w:p>
    <w:p w:rsidR="00160AAA" w:rsidRPr="00020726" w:rsidRDefault="00160AAA" w:rsidP="00160AAA">
      <w:pPr>
        <w:pStyle w:val="BodyText"/>
        <w:rPr>
          <w:lang w:val="de-DE"/>
        </w:rPr>
      </w:pPr>
      <w:r w:rsidRPr="00020726">
        <w:rPr>
          <w:lang w:val="de-DE"/>
        </w:rPr>
        <w:t xml:space="preserve">Latente Steuern (latente Steuerforderung und latente Steuerverbindlichkeit) erstrecken sich auf: </w:t>
      </w:r>
    </w:p>
    <w:p w:rsidR="00160AAA" w:rsidRPr="00020726" w:rsidRDefault="00160AAA" w:rsidP="00160AAA">
      <w:pPr>
        <w:pStyle w:val="BodyText"/>
        <w:numPr>
          <w:ilvl w:val="0"/>
          <w:numId w:val="8"/>
        </w:numPr>
        <w:rPr>
          <w:lang w:val="de-DE"/>
        </w:rPr>
      </w:pPr>
      <w:r w:rsidRPr="00020726">
        <w:rPr>
          <w:lang w:val="de-DE"/>
        </w:rPr>
        <w:t>temporäre Differenzen zwischen dem in der Bilanz ausgewiesenen Buchwert der Vermögensgegenstände und Verbindlichkeiten und deren Steuerwert,</w:t>
      </w:r>
    </w:p>
    <w:p w:rsidR="00160AAA" w:rsidRPr="00020726" w:rsidRDefault="00160AAA" w:rsidP="00160AAA">
      <w:pPr>
        <w:pStyle w:val="BodyText"/>
        <w:numPr>
          <w:ilvl w:val="0"/>
          <w:numId w:val="8"/>
        </w:numPr>
        <w:rPr>
          <w:lang w:val="de-DE"/>
        </w:rPr>
      </w:pPr>
      <w:r w:rsidRPr="00020726">
        <w:rPr>
          <w:lang w:val="de-DE"/>
        </w:rPr>
        <w:t>die Möglichkeit, den steuerlichen Verlust in die Zukunft vorzutragen, unter der die Möglichkeit des Abzugs des steuerlichen Verlustes von der Steuerbemessungsgrundlage in der Zukunft verstanden wird,</w:t>
      </w:r>
    </w:p>
    <w:p w:rsidR="00160AAA" w:rsidRPr="00020726" w:rsidRDefault="00160AAA" w:rsidP="00160AAA">
      <w:pPr>
        <w:pStyle w:val="BodyText"/>
        <w:numPr>
          <w:ilvl w:val="0"/>
          <w:numId w:val="8"/>
        </w:numPr>
        <w:rPr>
          <w:lang w:val="de-DE"/>
        </w:rPr>
      </w:pPr>
      <w:r w:rsidRPr="00020726">
        <w:rPr>
          <w:lang w:val="de-DE"/>
        </w:rPr>
        <w:t>die Möglichkeit, die nicht genutzten steuerlichen Abzüge und andere steuerliche Ansprüche in die zukünftigen Perioden zu übertragen.</w:t>
      </w:r>
    </w:p>
    <w:p w:rsidR="00160AAA" w:rsidRPr="00020726" w:rsidRDefault="00160AAA" w:rsidP="00160AAA">
      <w:pPr>
        <w:pStyle w:val="BodyText"/>
        <w:ind w:left="0"/>
        <w:rPr>
          <w:lang w:val="de-DE"/>
        </w:rPr>
      </w:pPr>
    </w:p>
    <w:p w:rsidR="00160AAA" w:rsidRPr="00020726" w:rsidRDefault="00160AAA" w:rsidP="00160AAA">
      <w:pPr>
        <w:pStyle w:val="Pismenka"/>
        <w:rPr>
          <w:lang w:val="de-DE"/>
        </w:rPr>
      </w:pPr>
      <w:r w:rsidRPr="00020726">
        <w:rPr>
          <w:lang w:val="de-DE"/>
        </w:rPr>
        <w:t>Ausgaben künftiger Perioden und die Erträge künftiger Perioden</w:t>
      </w:r>
    </w:p>
    <w:p w:rsidR="00160AAA" w:rsidRDefault="00160AAA" w:rsidP="00160AAA">
      <w:pPr>
        <w:pStyle w:val="BodyText"/>
        <w:rPr>
          <w:lang w:val="de-DE"/>
        </w:rPr>
      </w:pPr>
      <w:r w:rsidRPr="00020726">
        <w:rPr>
          <w:lang w:val="de-DE"/>
        </w:rPr>
        <w:t>Ausgaben künftiger Perioden und die Erträge künftiger Perioden werden in der Höhe ausgewiesen, die zur Einhaltung des Grundsatzes des zeitlichen und sachlichen Zusammenhanges mit dem Geschäftsjahr erforderlich ist.</w:t>
      </w:r>
    </w:p>
    <w:p w:rsidR="00160AAA" w:rsidRDefault="00160AAA" w:rsidP="00160AAA">
      <w:pPr>
        <w:pStyle w:val="BodyText"/>
        <w:rPr>
          <w:lang w:val="de-DE"/>
        </w:rPr>
      </w:pPr>
    </w:p>
    <w:p w:rsidR="00160AAA" w:rsidRPr="00020726" w:rsidRDefault="00160AAA" w:rsidP="00160AAA">
      <w:pPr>
        <w:pStyle w:val="Pismenka"/>
        <w:rPr>
          <w:lang w:val="de-DE"/>
        </w:rPr>
      </w:pPr>
      <w:r>
        <w:rPr>
          <w:lang w:val="de-DE"/>
        </w:rPr>
        <w:t>Emissionsquoten</w:t>
      </w:r>
    </w:p>
    <w:p w:rsidR="00160AAA" w:rsidRDefault="00160AAA" w:rsidP="00160AAA">
      <w:pPr>
        <w:pStyle w:val="BodyText"/>
        <w:rPr>
          <w:bCs/>
          <w:lang w:val="de-DE"/>
        </w:rPr>
      </w:pPr>
      <w:r w:rsidRPr="001F7014">
        <w:rPr>
          <w:bCs/>
          <w:lang w:val="de-DE"/>
        </w:rPr>
        <w:t xml:space="preserve">Der unentgeltlich gutgeschriebene Proportionalanteil der Emissionsquoten in der Bewertung mit dem Wiederbeschaffungspreis </w:t>
      </w:r>
      <w:bookmarkStart w:id="13" w:name="OLE_LINK3"/>
      <w:bookmarkStart w:id="14" w:name="OLE_LINK4"/>
      <w:r w:rsidRPr="001F7014">
        <w:rPr>
          <w:bCs/>
          <w:lang w:val="de-DE"/>
        </w:rPr>
        <w:t xml:space="preserve">wird als Ertrag künftiger Perioden </w:t>
      </w:r>
      <w:bookmarkEnd w:id="13"/>
      <w:bookmarkEnd w:id="14"/>
      <w:r w:rsidRPr="001F7014">
        <w:rPr>
          <w:bCs/>
          <w:lang w:val="de-DE"/>
        </w:rPr>
        <w:t>gebucht.</w:t>
      </w:r>
    </w:p>
    <w:p w:rsidR="00160AAA" w:rsidRPr="001F7014" w:rsidRDefault="00160AAA" w:rsidP="00160AAA">
      <w:pPr>
        <w:pStyle w:val="BodyText"/>
        <w:rPr>
          <w:bCs/>
          <w:lang w:val="de-DE"/>
        </w:rPr>
      </w:pPr>
    </w:p>
    <w:p w:rsidR="00160AAA" w:rsidRDefault="00160AAA" w:rsidP="00160AAA">
      <w:pPr>
        <w:pStyle w:val="BodyText"/>
        <w:rPr>
          <w:bCs/>
          <w:lang w:val="de-DE"/>
        </w:rPr>
      </w:pPr>
      <w:r w:rsidRPr="00EF0564">
        <w:rPr>
          <w:lang w:val="de-DE"/>
        </w:rPr>
        <w:t>Die Verrechnung der Erträge künftiger Perioden wird im zeitlichen und sachlichen Zusammenhang mit der Verwendung der</w:t>
      </w:r>
      <w:r w:rsidRPr="00EF0564">
        <w:rPr>
          <w:bCs/>
          <w:lang w:val="de-DE"/>
        </w:rPr>
        <w:t xml:space="preserve"> unentgeltlich gutgeschriebenen Emissionsquoten auf Grund ihres Verkaufs oder der Bildung einer Rückstellung oder der Erfüllung der Pflicht zur Übergabe der Emissionsquoten gebucht.</w:t>
      </w:r>
    </w:p>
    <w:p w:rsidR="00D1702A" w:rsidRDefault="00D1702A" w:rsidP="00160AAA">
      <w:pPr>
        <w:pStyle w:val="BodyText"/>
        <w:rPr>
          <w:bCs/>
          <w:lang w:val="de-DE"/>
        </w:rPr>
      </w:pPr>
    </w:p>
    <w:p w:rsidR="00D1702A" w:rsidRPr="00CA1B1A" w:rsidRDefault="008C782B" w:rsidP="00D1702A">
      <w:pPr>
        <w:pStyle w:val="BodyText"/>
      </w:pPr>
      <w:r w:rsidRPr="008C782B">
        <w:t xml:space="preserve">Eingekaufte Emissionsquoten werden zum Anschaffungspreis bewertet.  </w:t>
      </w:r>
    </w:p>
    <w:p w:rsidR="00160AAA" w:rsidRPr="00CA1B1A" w:rsidRDefault="00160AAA" w:rsidP="00160AAA">
      <w:pPr>
        <w:pStyle w:val="BodyText"/>
        <w:rPr>
          <w:lang w:val="de-DE"/>
        </w:rPr>
      </w:pPr>
    </w:p>
    <w:p w:rsidR="00160AAA" w:rsidRPr="00CA1B1A" w:rsidRDefault="00C17A50" w:rsidP="00160AAA">
      <w:pPr>
        <w:pStyle w:val="Pismenka"/>
        <w:rPr>
          <w:lang w:val="de-DE"/>
        </w:rPr>
      </w:pPr>
      <w:r>
        <w:rPr>
          <w:lang w:val="de-DE"/>
        </w:rPr>
        <w:t>Zuschüsse aus dem Staatshaushalt</w:t>
      </w:r>
    </w:p>
    <w:p w:rsidR="00160AAA" w:rsidRPr="00CA1B1A" w:rsidRDefault="00C17A50" w:rsidP="00160AAA">
      <w:pPr>
        <w:ind w:left="450"/>
        <w:jc w:val="both"/>
        <w:rPr>
          <w:sz w:val="18"/>
          <w:lang w:val="de-DE"/>
        </w:rPr>
      </w:pPr>
      <w:r>
        <w:rPr>
          <w:sz w:val="18"/>
          <w:szCs w:val="18"/>
          <w:lang w:val="de-DE"/>
        </w:rPr>
        <w:t>Der Anspruch auf einen Zuschuss wird gebucht, wenn es so gut wie sicher ist, dass alle Bedingungen im Zusammenhang mit dem Zuschuss erfüllt werden und gleizeitig dass der Zuschuss gewährt wird.</w:t>
      </w:r>
    </w:p>
    <w:p w:rsidR="00160AAA" w:rsidRPr="00CA1B1A" w:rsidRDefault="00160AAA" w:rsidP="00160AAA">
      <w:pPr>
        <w:ind w:left="450"/>
        <w:jc w:val="both"/>
        <w:rPr>
          <w:sz w:val="18"/>
          <w:lang w:val="de-DE"/>
        </w:rPr>
      </w:pPr>
    </w:p>
    <w:p w:rsidR="00160AAA" w:rsidRPr="009D33FD" w:rsidRDefault="00C17A50" w:rsidP="00160AAA">
      <w:pPr>
        <w:ind w:left="450"/>
        <w:jc w:val="both"/>
        <w:rPr>
          <w:sz w:val="18"/>
          <w:highlight w:val="yellow"/>
          <w:lang w:val="de-DE"/>
        </w:rPr>
      </w:pPr>
      <w:r>
        <w:rPr>
          <w:sz w:val="18"/>
          <w:lang w:val="de-DE"/>
        </w:rPr>
        <w:t>Die Zuschüsse zur Wirtschaftstätigkeit der Gesellschaft werden vorerst als Erträge künftiger Perioden ausgewiesen und in der Gewinn- und Verlustrechnung als Erträge aus der Wirtschaftstätigkeit im zeitlichen und sachlichen</w:t>
      </w:r>
      <w:r w:rsidR="00160AAA" w:rsidRPr="009D33FD">
        <w:rPr>
          <w:sz w:val="18"/>
          <w:lang w:val="de-DE"/>
        </w:rPr>
        <w:t xml:space="preserve"> Zusammenhang</w:t>
      </w:r>
      <w:r w:rsidR="00160AAA" w:rsidRPr="00757462">
        <w:rPr>
          <w:lang w:val="de-DE"/>
        </w:rPr>
        <w:t xml:space="preserve"> </w:t>
      </w:r>
      <w:r w:rsidR="00160AAA" w:rsidRPr="009D33FD">
        <w:rPr>
          <w:sz w:val="18"/>
          <w:szCs w:val="18"/>
          <w:lang w:val="de-DE"/>
        </w:rPr>
        <w:t>mit der Buchung der zum betreffenden Zweck aufgewendeten Aufwendungen</w:t>
      </w:r>
      <w:r w:rsidR="00160AAA" w:rsidRPr="00757462">
        <w:rPr>
          <w:sz w:val="18"/>
          <w:szCs w:val="18"/>
          <w:lang w:val="de-DE"/>
        </w:rPr>
        <w:t xml:space="preserve"> aufgelöst.</w:t>
      </w:r>
      <w:r w:rsidR="00160AAA" w:rsidRPr="009D33FD">
        <w:rPr>
          <w:sz w:val="18"/>
          <w:highlight w:val="yellow"/>
          <w:lang w:val="de-DE"/>
        </w:rPr>
        <w:t xml:space="preserve"> </w:t>
      </w:r>
    </w:p>
    <w:p w:rsidR="00160AAA" w:rsidRPr="009D33FD" w:rsidRDefault="00160AAA" w:rsidP="00160AAA">
      <w:pPr>
        <w:ind w:left="450"/>
        <w:jc w:val="both"/>
        <w:rPr>
          <w:sz w:val="18"/>
          <w:highlight w:val="yellow"/>
          <w:lang w:val="de-DE"/>
        </w:rPr>
      </w:pPr>
    </w:p>
    <w:p w:rsidR="00160AAA" w:rsidRPr="009D33FD" w:rsidRDefault="00160AAA" w:rsidP="00160AAA">
      <w:pPr>
        <w:ind w:left="450"/>
        <w:jc w:val="both"/>
        <w:rPr>
          <w:sz w:val="18"/>
          <w:lang w:val="de-DE"/>
        </w:rPr>
      </w:pPr>
      <w:r w:rsidRPr="009D33FD">
        <w:rPr>
          <w:sz w:val="18"/>
          <w:lang w:val="de-DE"/>
        </w:rPr>
        <w:t>Die Zuschüsse zur Anschaffung der Sachanlagen und der immateriellen Vermögensgegenstände werden vorerst als Erträge künftiger Perioden ausgewiesen und in der Gewinn- und Verlustrechnung im zeitlichen und sachlichen Zusammenhang</w:t>
      </w:r>
      <w:r w:rsidRPr="00757462">
        <w:rPr>
          <w:lang w:val="de-DE"/>
        </w:rPr>
        <w:t xml:space="preserve"> </w:t>
      </w:r>
      <w:r w:rsidRPr="00757462">
        <w:rPr>
          <w:sz w:val="18"/>
          <w:szCs w:val="18"/>
          <w:lang w:val="de-DE"/>
        </w:rPr>
        <w:t>mit der Buchung der Abschreibungen auf dieses langfristige Vermögen aufgelöst.</w:t>
      </w:r>
    </w:p>
    <w:p w:rsidR="00160AAA" w:rsidRPr="00757462" w:rsidRDefault="00160AAA" w:rsidP="00160AAA">
      <w:pPr>
        <w:pStyle w:val="BodyText"/>
        <w:rPr>
          <w:lang w:val="de-DE"/>
        </w:rPr>
      </w:pPr>
    </w:p>
    <w:p w:rsidR="00160AAA" w:rsidRPr="008B418F" w:rsidRDefault="00160AAA" w:rsidP="005E09B4">
      <w:pPr>
        <w:pStyle w:val="Pismenka"/>
        <w:keepNext/>
        <w:rPr>
          <w:lang w:val="de-DE"/>
        </w:rPr>
      </w:pPr>
      <w:r w:rsidRPr="008B418F">
        <w:rPr>
          <w:lang w:val="de-DE"/>
        </w:rPr>
        <w:t>Leasing</w:t>
      </w:r>
    </w:p>
    <w:p w:rsidR="00160AAA" w:rsidRPr="00563EAC" w:rsidRDefault="00160AAA" w:rsidP="005E09B4">
      <w:pPr>
        <w:pStyle w:val="BodyText"/>
        <w:keepNext/>
        <w:rPr>
          <w:lang w:val="de-DE"/>
        </w:rPr>
      </w:pPr>
      <w:r>
        <w:rPr>
          <w:lang w:val="de-DE"/>
        </w:rPr>
        <w:t xml:space="preserve">Bei einem operativen Leasingvertrag werden die vermieteten Vermögensgegenstände beim Eigentümer (Leasinggeber) </w:t>
      </w:r>
      <w:r w:rsidR="001D6DC7" w:rsidRPr="00941667">
        <w:rPr>
          <w:lang w:val="de-DE"/>
        </w:rPr>
        <w:t>bilanziert</w:t>
      </w:r>
      <w:r>
        <w:rPr>
          <w:lang w:val="de-DE"/>
        </w:rPr>
        <w:t>.</w:t>
      </w:r>
    </w:p>
    <w:p w:rsidR="00F33D74" w:rsidRDefault="00F33D74" w:rsidP="00160AAA">
      <w:pPr>
        <w:pStyle w:val="BodyText"/>
        <w:rPr>
          <w:lang w:val="de-DE"/>
        </w:rPr>
      </w:pPr>
    </w:p>
    <w:p w:rsidR="00F33D74" w:rsidRDefault="00F33D74" w:rsidP="00F33D74">
      <w:pPr>
        <w:pStyle w:val="BodyText"/>
      </w:pPr>
      <w:r>
        <w:rPr>
          <w:lang w:val="de-DE"/>
        </w:rPr>
        <w:t xml:space="preserve">Als </w:t>
      </w:r>
      <w:r w:rsidRPr="001D0C02">
        <w:rPr>
          <w:lang w:val="de-DE"/>
        </w:rPr>
        <w:t>Finanzierungsleasing</w:t>
      </w:r>
      <w:r>
        <w:t xml:space="preserve"> gilt die Anschaffung der Sachanlagen aufgrund eines Mietvertrages mit de</w:t>
      </w:r>
      <w:r w:rsidR="000D30BA">
        <w:t>m</w:t>
      </w:r>
      <w:r>
        <w:t xml:space="preserve"> vereinbarten Recht auf Kauf der gemieteten Sachen für vereinbarte Zahlungen während der vereinbarten Mietdauer. Die in Form des Finanzierungsleasing</w:t>
      </w:r>
      <w:r w:rsidR="00D96883">
        <w:t>s</w:t>
      </w:r>
      <w:r>
        <w:t xml:space="preserve"> </w:t>
      </w:r>
      <w:r w:rsidR="008C782B" w:rsidRPr="008C782B">
        <w:t xml:space="preserve">vermieteten Vermögensgegenstände </w:t>
      </w:r>
      <w:r>
        <w:t xml:space="preserve">werden beim </w:t>
      </w:r>
      <w:r w:rsidR="008C782B" w:rsidRPr="008C782B">
        <w:t>beim</w:t>
      </w:r>
      <w:r>
        <w:t xml:space="preserve"> Leasingnehmer und nicht beim </w:t>
      </w:r>
      <w:r w:rsidR="008C782B" w:rsidRPr="008C782B">
        <w:t xml:space="preserve"> Eigentümer (Leasinggeber)</w:t>
      </w:r>
      <w:r>
        <w:t xml:space="preserve"> als sein</w:t>
      </w:r>
      <w:r w:rsidR="004B19BC">
        <w:t xml:space="preserve"> Vermögen</w:t>
      </w:r>
      <w:r w:rsidR="008C782B" w:rsidRPr="008C782B">
        <w:t xml:space="preserve"> bilanzier</w:t>
      </w:r>
      <w:r>
        <w:t xml:space="preserve">t und abgeschrieben. </w:t>
      </w:r>
    </w:p>
    <w:p w:rsidR="00F33D74" w:rsidRDefault="00F33D74" w:rsidP="00F33D74">
      <w:pPr>
        <w:pStyle w:val="BodyText"/>
      </w:pPr>
    </w:p>
    <w:p w:rsidR="00F33D74" w:rsidRDefault="004B19BC" w:rsidP="00F33D74">
      <w:pPr>
        <w:pStyle w:val="BodyText"/>
      </w:pPr>
      <w:r>
        <w:t xml:space="preserve">Die Übernahme des Vermögensgegenstandes wird in den Büchern des Leasingnehmers am Tag der Übernahme des Vermögensgegenstandes auf der Soll-Seite des entsprechenden Vermögenskontos mit korresponierender Buchung auf der Haben-Seite des Kontos </w:t>
      </w:r>
      <w:r w:rsidR="00F33D74">
        <w:t xml:space="preserve">474 – </w:t>
      </w:r>
      <w:r>
        <w:t>Mietverbindlichkeiten in Höhe der vereinbarten Zahlungen, die um nichtrealisierte Finanzaufwendungen vermindert wurden, gebucht</w:t>
      </w:r>
      <w:r w:rsidR="00F33D74">
        <w:t>.</w:t>
      </w:r>
    </w:p>
    <w:p w:rsidR="00F33D74" w:rsidRPr="00270DBD" w:rsidRDefault="00F33D74" w:rsidP="00F33D74">
      <w:pPr>
        <w:pStyle w:val="BodyText"/>
        <w:rPr>
          <w:szCs w:val="18"/>
        </w:rPr>
      </w:pPr>
    </w:p>
    <w:p w:rsidR="00F33D74" w:rsidRPr="00CA1B1A" w:rsidRDefault="004B19BC" w:rsidP="00F33D74">
      <w:pPr>
        <w:pStyle w:val="BodyText"/>
      </w:pPr>
      <w:r w:rsidRPr="00FD4AE1">
        <w:rPr>
          <w:bCs/>
          <w:lang w:val="de-DE"/>
        </w:rPr>
        <w:lastRenderedPageBreak/>
        <w:t>Bestandteil der vereinbarten Zahlungen ist auch der Kaufpreis, zu dem am Ende der vereinbarten Laufzeit de</w:t>
      </w:r>
      <w:r w:rsidR="00D96883">
        <w:rPr>
          <w:bCs/>
          <w:lang w:val="de-DE"/>
        </w:rPr>
        <w:t>s</w:t>
      </w:r>
      <w:r w:rsidRPr="00FD4AE1">
        <w:rPr>
          <w:bCs/>
          <w:lang w:val="de-DE"/>
        </w:rPr>
        <w:t xml:space="preserve"> Finanzierungs</w:t>
      </w:r>
      <w:r w:rsidR="00374E79">
        <w:rPr>
          <w:bCs/>
          <w:lang w:val="de-DE"/>
        </w:rPr>
        <w:t>leasings</w:t>
      </w:r>
      <w:r w:rsidRPr="00FD4AE1">
        <w:rPr>
          <w:bCs/>
          <w:lang w:val="de-DE"/>
        </w:rPr>
        <w:t xml:space="preserve"> das Eigentumsrecht an dem gemieteten Vermögensgegenstand vom Leasinggeber auf den </w:t>
      </w:r>
      <w:r w:rsidR="00C17A50">
        <w:rPr>
          <w:bCs/>
          <w:lang w:val="de-DE"/>
        </w:rPr>
        <w:t>Leasingnehmer übergeht,</w:t>
      </w:r>
      <w:r w:rsidR="00C17A50">
        <w:t xml:space="preserve"> Die vereinbarte Mietdauer beträgt mindestens 60</w:t>
      </w:r>
      <w:r w:rsidR="004C5469">
        <w:t xml:space="preserve"> </w:t>
      </w:r>
      <w:r w:rsidR="00C17A50">
        <w:t xml:space="preserve">% der Abschreibungsdauer nach den steuerlichen Vorschriften, mindestens jedoch 3 Jahre. Die Mietzahlung ist </w:t>
      </w:r>
      <w:r w:rsidR="008C782B" w:rsidRPr="008C782B">
        <w:t xml:space="preserve">als </w:t>
      </w:r>
      <w:r w:rsidR="00C17A50">
        <w:t>die Zahlung der Nettoinvestition i</w:t>
      </w:r>
      <w:r w:rsidR="00D753DD">
        <w:t>m</w:t>
      </w:r>
      <w:r w:rsidR="00C17A50">
        <w:t xml:space="preserve"> Leasingverh</w:t>
      </w:r>
      <w:r w:rsidR="00D753DD">
        <w:t>ä</w:t>
      </w:r>
      <w:r w:rsidR="00C17A50">
        <w:t xml:space="preserve">ltnis und die </w:t>
      </w:r>
      <w:r w:rsidR="00C17A50">
        <w:rPr>
          <w:bCs/>
          <w:lang w:val="de-DE"/>
        </w:rPr>
        <w:t>durch die Methode des dem Leasingverhältnis zugrunde liegenden Zinssatzes errechneten Fina</w:t>
      </w:r>
      <w:r w:rsidR="00D753DD">
        <w:rPr>
          <w:bCs/>
          <w:lang w:val="de-DE"/>
        </w:rPr>
        <w:t>n</w:t>
      </w:r>
      <w:r w:rsidR="00C17A50">
        <w:rPr>
          <w:bCs/>
          <w:lang w:val="de-DE"/>
        </w:rPr>
        <w:t>zaufwendunge</w:t>
      </w:r>
      <w:r w:rsidR="008C782B" w:rsidRPr="008C782B">
        <w:rPr>
          <w:bCs/>
          <w:lang w:val="de-DE"/>
        </w:rPr>
        <w:t>n</w:t>
      </w:r>
      <w:r w:rsidR="00C17A50">
        <w:rPr>
          <w:bCs/>
          <w:lang w:val="de-DE"/>
        </w:rPr>
        <w:t xml:space="preserve"> </w:t>
      </w:r>
      <w:r w:rsidR="008C782B" w:rsidRPr="008C782B">
        <w:rPr>
          <w:bCs/>
          <w:lang w:val="de-DE"/>
        </w:rPr>
        <w:t xml:space="preserve">festgelegt. </w:t>
      </w:r>
      <w:r w:rsidR="00C17A50">
        <w:t>Die Finanzaufwendungen werden auf der Soll-Seite des Kontos 562 – Zinsaufwendungen gebucht.</w:t>
      </w:r>
    </w:p>
    <w:p w:rsidR="00F33D74" w:rsidRPr="00CA1B1A" w:rsidRDefault="00F33D74" w:rsidP="00160AAA">
      <w:pPr>
        <w:pStyle w:val="BodyText"/>
      </w:pPr>
    </w:p>
    <w:p w:rsidR="00160AAA" w:rsidRPr="00CA1B1A" w:rsidRDefault="00C17A50" w:rsidP="00160AAA">
      <w:pPr>
        <w:pStyle w:val="Pismenka"/>
        <w:rPr>
          <w:lang w:val="de-DE"/>
        </w:rPr>
      </w:pPr>
      <w:r>
        <w:rPr>
          <w:lang w:val="de-DE"/>
        </w:rPr>
        <w:t>Derivate</w:t>
      </w:r>
    </w:p>
    <w:p w:rsidR="00160AAA" w:rsidRPr="00CA1B1A" w:rsidRDefault="00C17A50" w:rsidP="00160AAA">
      <w:pPr>
        <w:pStyle w:val="BodyText"/>
        <w:rPr>
          <w:lang w:val="de-DE"/>
        </w:rPr>
      </w:pPr>
      <w:r>
        <w:rPr>
          <w:lang w:val="de-DE"/>
        </w:rPr>
        <w:t>Derivate werden zum Realwert [engl. fair value] bewertet.</w:t>
      </w:r>
    </w:p>
    <w:p w:rsidR="00160AAA" w:rsidRPr="00CA1B1A" w:rsidRDefault="00160AAA" w:rsidP="00160AAA">
      <w:pPr>
        <w:pStyle w:val="BodyText"/>
        <w:rPr>
          <w:lang w:val="de-DE"/>
        </w:rPr>
      </w:pPr>
    </w:p>
    <w:p w:rsidR="00160AAA" w:rsidRPr="00CA1B1A" w:rsidRDefault="00C17A50" w:rsidP="00160AAA">
      <w:pPr>
        <w:pStyle w:val="BodyText"/>
        <w:rPr>
          <w:lang w:val="de-DE"/>
        </w:rPr>
      </w:pPr>
      <w:r>
        <w:rPr>
          <w:lang w:val="de-DE"/>
        </w:rPr>
        <w:t xml:space="preserve">Änderungen der Realwerte der Sicherungsderivate werden ergebnisneutral, d.h. direkt ins Eigenkapital gebucht. </w:t>
      </w:r>
    </w:p>
    <w:p w:rsidR="00160AAA" w:rsidRPr="00CA1B1A" w:rsidRDefault="00160AAA" w:rsidP="00160AAA">
      <w:pPr>
        <w:pStyle w:val="BodyText"/>
        <w:rPr>
          <w:lang w:val="de-DE"/>
        </w:rPr>
      </w:pPr>
    </w:p>
    <w:p w:rsidR="00160AAA" w:rsidRPr="001250F6" w:rsidRDefault="00C17A50" w:rsidP="00160AAA">
      <w:pPr>
        <w:pStyle w:val="BodyText"/>
        <w:rPr>
          <w:lang w:val="de-DE"/>
        </w:rPr>
      </w:pPr>
      <w:r>
        <w:rPr>
          <w:lang w:val="de-DE"/>
        </w:rPr>
        <w:t>Änderungen der Realwerte der zum Handel auf einer Inlandsbörse, Auslandsbörse oder auf einem anderen öffentlichen Markt bestimmten Derivate werden ergebniswirksam gebucht.</w:t>
      </w:r>
      <w:r w:rsidR="00160AAA" w:rsidRPr="001250F6">
        <w:rPr>
          <w:lang w:val="de-DE"/>
        </w:rPr>
        <w:t xml:space="preserve"> </w:t>
      </w:r>
    </w:p>
    <w:p w:rsidR="00160AAA" w:rsidRPr="001250F6" w:rsidRDefault="00160AAA" w:rsidP="00160AAA">
      <w:pPr>
        <w:pStyle w:val="BodyText"/>
        <w:rPr>
          <w:lang w:val="de-DE"/>
        </w:rPr>
      </w:pPr>
    </w:p>
    <w:p w:rsidR="00160AAA" w:rsidRPr="001250F6" w:rsidRDefault="00160AAA" w:rsidP="00160AAA">
      <w:pPr>
        <w:pStyle w:val="BodyText"/>
        <w:rPr>
          <w:lang w:val="de-DE"/>
        </w:rPr>
      </w:pPr>
      <w:r w:rsidRPr="001250F6">
        <w:rPr>
          <w:lang w:val="de-DE"/>
        </w:rPr>
        <w:t xml:space="preserve">Änderungen der Realwerte der zum Handel auf einem nicht öffentlichen Markt bestimmten Derivate werden ergebnisneutral, d. h. direkt ins Eigenkapital gebucht. </w:t>
      </w:r>
    </w:p>
    <w:p w:rsidR="00160AAA" w:rsidRPr="00561333" w:rsidRDefault="00160AAA" w:rsidP="00160AAA">
      <w:pPr>
        <w:pStyle w:val="BodyText"/>
        <w:rPr>
          <w:highlight w:val="yellow"/>
          <w:lang w:val="de-DE"/>
        </w:rPr>
      </w:pPr>
    </w:p>
    <w:p w:rsidR="00160AAA" w:rsidRPr="001250F6" w:rsidRDefault="00160AAA" w:rsidP="00160AAA">
      <w:pPr>
        <w:pStyle w:val="Pismenka"/>
        <w:rPr>
          <w:lang w:val="de-DE"/>
        </w:rPr>
      </w:pPr>
      <w:r w:rsidRPr="001250F6">
        <w:rPr>
          <w:lang w:val="de-DE"/>
        </w:rPr>
        <w:t>Durch Derivate gesicherte Vermögensgegenstände und Verbindlichkeiten</w:t>
      </w:r>
    </w:p>
    <w:p w:rsidR="00160AAA" w:rsidRDefault="00160AAA" w:rsidP="00160AAA">
      <w:pPr>
        <w:pStyle w:val="BodyText"/>
        <w:rPr>
          <w:lang w:val="de-DE"/>
        </w:rPr>
      </w:pPr>
      <w:r w:rsidRPr="001250F6">
        <w:rPr>
          <w:lang w:val="de-DE"/>
        </w:rPr>
        <w:t xml:space="preserve">Die durch Derivate gesicherten Vermögensgegenstände und Verbindlichkeiten werden zum Realwert [fair value] bewertet. Änderungen der Realwerte der durch Derivate gesicherten Vermögensgegenstände und Verbindlichkeiten werden ergebnisneutral, d. h. direkt ins Eigenkapital gebucht. </w:t>
      </w:r>
    </w:p>
    <w:p w:rsidR="00160AAA" w:rsidRPr="001250F6" w:rsidRDefault="00160AAA" w:rsidP="00160AAA">
      <w:pPr>
        <w:pStyle w:val="BodyText"/>
        <w:rPr>
          <w:lang w:val="de-DE"/>
        </w:rPr>
      </w:pPr>
    </w:p>
    <w:p w:rsidR="00160AAA" w:rsidRPr="001250F6" w:rsidRDefault="00160AAA" w:rsidP="00160AAA">
      <w:pPr>
        <w:pStyle w:val="Pismenka"/>
        <w:rPr>
          <w:lang w:val="de-DE"/>
        </w:rPr>
      </w:pPr>
      <w:r w:rsidRPr="001250F6">
        <w:rPr>
          <w:lang w:val="de-DE"/>
        </w:rPr>
        <w:t>Fremdwährung</w:t>
      </w:r>
    </w:p>
    <w:p w:rsidR="00160AAA" w:rsidRDefault="00160AAA" w:rsidP="00160AAA">
      <w:pPr>
        <w:pStyle w:val="BodyText"/>
        <w:rPr>
          <w:bCs/>
          <w:lang w:val="de-DE"/>
        </w:rPr>
      </w:pPr>
      <w:r w:rsidRPr="00811D8D">
        <w:rPr>
          <w:lang w:val="de-DE"/>
        </w:rPr>
        <w:t xml:space="preserve">Vermögensgegenstände und Verbindlichkeiten in Fremdwährung werden zum Tag der Verwirklichung des Buchungsfalles in die Währung Euro mit dem </w:t>
      </w:r>
      <w:r w:rsidRPr="00811D8D">
        <w:rPr>
          <w:bCs/>
          <w:lang w:val="de-DE"/>
        </w:rPr>
        <w:t xml:space="preserve">von der Europäischen Zentralbank oder der Nationalbank der Slowakei an dem Tag, der dem Tag der </w:t>
      </w:r>
      <w:r w:rsidRPr="00811D8D">
        <w:rPr>
          <w:lang w:val="de-DE"/>
        </w:rPr>
        <w:t xml:space="preserve">Verwirklichung des Buchungsfalles </w:t>
      </w:r>
      <w:r w:rsidRPr="00811D8D">
        <w:rPr>
          <w:bCs/>
          <w:lang w:val="de-DE"/>
        </w:rPr>
        <w:t>vorausgeht, festgelegten und verlautbarten Referenzwechselkurs umgerechnet.</w:t>
      </w:r>
    </w:p>
    <w:p w:rsidR="00202247" w:rsidRDefault="00202247" w:rsidP="00160AAA">
      <w:pPr>
        <w:pStyle w:val="BodyText"/>
        <w:rPr>
          <w:bCs/>
          <w:lang w:val="de-DE"/>
        </w:rPr>
      </w:pPr>
    </w:p>
    <w:p w:rsidR="00202247" w:rsidRDefault="00202247" w:rsidP="00202247">
      <w:pPr>
        <w:pStyle w:val="BodyText"/>
      </w:pPr>
      <w:r w:rsidRPr="00A8348C">
        <w:rPr>
          <w:bCs/>
          <w:lang w:val="de-DE"/>
        </w:rPr>
        <w:t>Für die Bewertung eines Zugangs der Fremdwährung, die für Euro eingekauft wurde, wird der Kurs herangezogen, zu dem diese Fremdwährung eingek</w:t>
      </w:r>
      <w:r w:rsidR="00936BD7">
        <w:rPr>
          <w:bCs/>
          <w:lang w:val="de-DE"/>
        </w:rPr>
        <w:t>auft wurde.</w:t>
      </w:r>
    </w:p>
    <w:p w:rsidR="00202247" w:rsidRDefault="00202247" w:rsidP="00202247">
      <w:pPr>
        <w:pStyle w:val="BodyText"/>
      </w:pPr>
    </w:p>
    <w:p w:rsidR="00202247" w:rsidRDefault="00202247" w:rsidP="00202247">
      <w:pPr>
        <w:pStyle w:val="BodyText"/>
      </w:pPr>
      <w:r w:rsidRPr="00D56414">
        <w:rPr>
          <w:bCs/>
        </w:rPr>
        <w:t xml:space="preserve">Beim Abgang </w:t>
      </w:r>
      <w:r>
        <w:rPr>
          <w:bCs/>
        </w:rPr>
        <w:t>der gleichen</w:t>
      </w:r>
      <w:r w:rsidRPr="00D56414">
        <w:rPr>
          <w:bCs/>
        </w:rPr>
        <w:t xml:space="preserve"> Fremdwährung in bar oder von einem Devisenkonto </w:t>
      </w:r>
      <w:r>
        <w:rPr>
          <w:bCs/>
        </w:rPr>
        <w:t>wird</w:t>
      </w:r>
      <w:r w:rsidRPr="00D56414">
        <w:rPr>
          <w:bCs/>
        </w:rPr>
        <w:t xml:space="preserve"> für die Umrechnung einer Fremdwährung in Euro </w:t>
      </w:r>
      <w:r>
        <w:rPr>
          <w:bCs/>
        </w:rPr>
        <w:t>der</w:t>
      </w:r>
      <w:r w:rsidRPr="00D56414">
        <w:rPr>
          <w:bCs/>
          <w:lang w:val="de-DE"/>
        </w:rPr>
        <w:t xml:space="preserve"> </w:t>
      </w:r>
      <w:r>
        <w:rPr>
          <w:bCs/>
          <w:lang w:val="de-DE"/>
        </w:rPr>
        <w:t>a</w:t>
      </w:r>
      <w:r w:rsidRPr="0039037B">
        <w:rPr>
          <w:bCs/>
          <w:lang w:val="de-DE"/>
        </w:rPr>
        <w:t>m Tag, der dem</w:t>
      </w:r>
      <w:r w:rsidRPr="0039037B">
        <w:rPr>
          <w:lang w:val="de-DE"/>
        </w:rPr>
        <w:t xml:space="preserve"> Tag der Verwirklichung des Buchungs</w:t>
      </w:r>
      <w:r w:rsidRPr="0039037B">
        <w:rPr>
          <w:lang w:val="de-DE"/>
        </w:rPr>
        <w:softHyphen/>
        <w:t>falles vorausgeht</w:t>
      </w:r>
      <w:r>
        <w:rPr>
          <w:lang w:val="de-DE"/>
        </w:rPr>
        <w:t>,</w:t>
      </w:r>
      <w:r>
        <w:rPr>
          <w:bCs/>
        </w:rPr>
        <w:t xml:space="preserve"> </w:t>
      </w:r>
      <w:r w:rsidRPr="00D56414">
        <w:rPr>
          <w:bCs/>
        </w:rPr>
        <w:t>von der Europäischen Zentralbank oder der Nationalbank der Slowakei festgelegte und verlautbarte Referenzwechselkurs herangezogen</w:t>
      </w:r>
      <w:r w:rsidR="00D96883">
        <w:rPr>
          <w:bCs/>
        </w:rPr>
        <w:t>.</w:t>
      </w:r>
      <w:r w:rsidRPr="00D56414">
        <w:rPr>
          <w:bCs/>
          <w:i/>
        </w:rPr>
        <w:t xml:space="preserve"> </w:t>
      </w:r>
    </w:p>
    <w:p w:rsidR="00160AAA" w:rsidRPr="00811D8D" w:rsidRDefault="00160AAA" w:rsidP="00160AAA">
      <w:pPr>
        <w:pStyle w:val="BodyText"/>
        <w:rPr>
          <w:lang w:val="de-DE"/>
        </w:rPr>
      </w:pPr>
    </w:p>
    <w:p w:rsidR="00160AAA" w:rsidRPr="00811D8D" w:rsidRDefault="00160AAA" w:rsidP="00160AAA">
      <w:pPr>
        <w:pStyle w:val="BodyText"/>
        <w:rPr>
          <w:lang w:val="de-DE"/>
        </w:rPr>
      </w:pPr>
      <w:r w:rsidRPr="00811D8D">
        <w:rPr>
          <w:lang w:val="de-DE"/>
        </w:rPr>
        <w:t xml:space="preserve">Vermögensgegenstände und Verbindlichkeiten in Fremdwährung (außer erhaltenen und geleisteten Anzahlungen) werden zum Bilanzstichtag in die Währung Euro mit dem </w:t>
      </w:r>
      <w:r w:rsidRPr="00811D8D">
        <w:rPr>
          <w:bCs/>
          <w:lang w:val="de-DE"/>
        </w:rPr>
        <w:t xml:space="preserve">von der Europäischen Zentralbank oder der Nationalbank der Slowakei </w:t>
      </w:r>
      <w:r w:rsidRPr="00811D8D">
        <w:rPr>
          <w:lang w:val="de-DE"/>
        </w:rPr>
        <w:t>am Bilanzstichtag</w:t>
      </w:r>
      <w:r w:rsidRPr="00811D8D">
        <w:rPr>
          <w:bCs/>
          <w:lang w:val="de-DE"/>
        </w:rPr>
        <w:t xml:space="preserve"> festgelegten und verlautbarten Referenzwechselkurs </w:t>
      </w:r>
      <w:r w:rsidRPr="00811D8D">
        <w:rPr>
          <w:lang w:val="de-DE"/>
        </w:rPr>
        <w:t>umgerechnet und ergebniswirksam gebucht.</w:t>
      </w:r>
    </w:p>
    <w:p w:rsidR="00160AAA" w:rsidRDefault="00160AAA" w:rsidP="00160AAA">
      <w:pPr>
        <w:pStyle w:val="BodyText"/>
        <w:rPr>
          <w:lang w:val="de-DE"/>
        </w:rPr>
      </w:pPr>
    </w:p>
    <w:p w:rsidR="00202247" w:rsidRDefault="00160AAA" w:rsidP="00160AAA">
      <w:pPr>
        <w:pStyle w:val="BodyText"/>
        <w:rPr>
          <w:lang w:val="de-DE"/>
        </w:rPr>
      </w:pPr>
      <w:r w:rsidRPr="00811D8D">
        <w:rPr>
          <w:lang w:val="de-DE"/>
        </w:rPr>
        <w:t xml:space="preserve">Die mittels eines in Fremdwährung geführten Bankkontos erhaltenen und geleisteten Anzahlungen werden zum Tag der Verwirklichung des Buchungsfalles in die Währung Euro mit dem von der Europäischen Zentralbank oder der </w:t>
      </w:r>
      <w:r w:rsidRPr="00BC6DED">
        <w:rPr>
          <w:lang w:val="de-DE"/>
        </w:rPr>
        <w:t>Nationalbank der Slowakei an dem Tag, der dem Tag der Verwirklichung des Buchungsfalles vorausgeht, festgelegten und verlautbarten Referenzwechselkurs umgerechnet.</w:t>
      </w:r>
      <w:r w:rsidR="003A1D1D">
        <w:rPr>
          <w:lang w:val="de-DE"/>
        </w:rPr>
        <w:t xml:space="preserve"> Zum Bilanzstichtag werden nicht mehr umgerechnet.</w:t>
      </w:r>
      <w:r w:rsidR="009A1811" w:rsidRPr="009A1811">
        <w:rPr>
          <w:lang w:val="de-DE"/>
        </w:rPr>
        <w:t xml:space="preserve"> </w:t>
      </w:r>
    </w:p>
    <w:p w:rsidR="00202247" w:rsidRDefault="00202247" w:rsidP="00160AAA">
      <w:pPr>
        <w:pStyle w:val="BodyText"/>
        <w:rPr>
          <w:lang w:val="de-DE"/>
        </w:rPr>
      </w:pPr>
    </w:p>
    <w:p w:rsidR="00380CF1" w:rsidRDefault="009A1811">
      <w:pPr>
        <w:pStyle w:val="BodyText"/>
      </w:pPr>
      <w:r w:rsidRPr="009A1811">
        <w:rPr>
          <w:lang w:val="de-DE"/>
        </w:rPr>
        <w:t>Die in einer Fremdwährung erhaltenen und geleisteten Anzahlungen auf ein in Euro er</w:t>
      </w:r>
      <w:r w:rsidR="003A1D1D">
        <w:rPr>
          <w:lang w:val="de-DE"/>
        </w:rPr>
        <w:t>r</w:t>
      </w:r>
      <w:r w:rsidRPr="009A1811">
        <w:rPr>
          <w:lang w:val="de-DE"/>
        </w:rPr>
        <w:t>ichtetes Konto oder aus einem in Euro errichteten Konto werden in die Währung Euro mit dem Kurs umgerechnet, zu dem diese Werte gekauft oder verkauft wurden.</w:t>
      </w:r>
    </w:p>
    <w:p w:rsidR="00160AAA" w:rsidRDefault="00160AAA" w:rsidP="00160AAA">
      <w:pPr>
        <w:pStyle w:val="BodyText"/>
        <w:rPr>
          <w:lang w:val="de-DE"/>
        </w:rPr>
      </w:pPr>
    </w:p>
    <w:p w:rsidR="00160AAA" w:rsidRPr="001250F6" w:rsidRDefault="00160AAA" w:rsidP="00160AAA">
      <w:pPr>
        <w:pStyle w:val="Pismenka"/>
        <w:rPr>
          <w:lang w:val="de-DE"/>
        </w:rPr>
      </w:pPr>
      <w:r w:rsidRPr="001250F6">
        <w:rPr>
          <w:lang w:val="de-DE"/>
        </w:rPr>
        <w:t>Erträge</w:t>
      </w:r>
    </w:p>
    <w:p w:rsidR="00160AAA" w:rsidRPr="001250F6" w:rsidRDefault="00160AAA" w:rsidP="00160AAA">
      <w:pPr>
        <w:pStyle w:val="BodyText"/>
        <w:rPr>
          <w:lang w:val="de-DE"/>
        </w:rPr>
      </w:pPr>
      <w:r w:rsidRPr="001250F6">
        <w:rPr>
          <w:lang w:val="de-DE"/>
        </w:rPr>
        <w:t xml:space="preserve">Die Erlöse aus dem Verkauf von eigenen Leistungen und Waren enthalten keine Mehrwertsteuer. Sie sind ebenfalls um die Ermäßigungen und Abzüge (Rabatte, Boni, Skonti, Gutschriften u.ä.) vermindert, und zwar ohne Rücksicht darauf, ob der Kunde im Voraus den Anspruch auf die Ermäßigung hatte oder ob es sich um eine nachträglich gewährte Ermäßigung handelt. </w:t>
      </w:r>
    </w:p>
    <w:p w:rsidR="00160AAA" w:rsidRDefault="00160AAA" w:rsidP="00160AAA">
      <w:pPr>
        <w:pStyle w:val="BodyText"/>
        <w:rPr>
          <w:highlight w:val="yellow"/>
          <w:lang w:val="de-DE"/>
        </w:rPr>
      </w:pPr>
    </w:p>
    <w:p w:rsidR="00160AAA" w:rsidRDefault="00160AAA" w:rsidP="00160AAA">
      <w:pPr>
        <w:pStyle w:val="BodyText"/>
        <w:rPr>
          <w:highlight w:val="yellow"/>
          <w:lang w:val="de-DE"/>
        </w:rPr>
      </w:pPr>
    </w:p>
    <w:p w:rsidR="00160AAA" w:rsidRDefault="00160AAA" w:rsidP="00160AAA">
      <w:pPr>
        <w:pStyle w:val="Heading1"/>
        <w:rPr>
          <w:lang w:val="de-DE"/>
        </w:rPr>
      </w:pPr>
      <w:bookmarkStart w:id="15" w:name="_Toc530739900"/>
      <w:r>
        <w:rPr>
          <w:lang w:val="de-DE"/>
        </w:rPr>
        <w:br w:type="page"/>
      </w:r>
      <w:r w:rsidRPr="004B52DE">
        <w:rPr>
          <w:lang w:val="de-DE"/>
        </w:rPr>
        <w:lastRenderedPageBreak/>
        <w:t xml:space="preserve">informATIONEN ÜBER DIE ANGABEN AUF DER AKTIVSEITE DER BILANZ  </w:t>
      </w:r>
      <w:bookmarkEnd w:id="15"/>
    </w:p>
    <w:p w:rsidR="00160AAA" w:rsidRPr="00270DBD" w:rsidRDefault="00160AAA" w:rsidP="00160AAA">
      <w:pPr>
        <w:pStyle w:val="Header"/>
        <w:numPr>
          <w:ilvl w:val="12"/>
          <w:numId w:val="0"/>
        </w:numPr>
        <w:jc w:val="both"/>
        <w:rPr>
          <w:sz w:val="18"/>
          <w:szCs w:val="18"/>
          <w:lang w:val="de-DE"/>
        </w:rPr>
      </w:pPr>
    </w:p>
    <w:p w:rsidR="00160AAA" w:rsidRPr="009B7785" w:rsidRDefault="00160AAA" w:rsidP="009B7785">
      <w:pPr>
        <w:pStyle w:val="Heading2"/>
        <w:numPr>
          <w:ilvl w:val="0"/>
          <w:numId w:val="17"/>
        </w:numPr>
        <w:rPr>
          <w:lang w:val="de-DE"/>
        </w:rPr>
      </w:pPr>
      <w:bookmarkStart w:id="16" w:name="_Toc530739901"/>
      <w:r w:rsidRPr="009B7785">
        <w:rPr>
          <w:lang w:val="de-DE"/>
        </w:rPr>
        <w:t xml:space="preserve">Langfristige immaterielle Vermögensgegenstände und Sachanlagen </w:t>
      </w:r>
      <w:bookmarkEnd w:id="16"/>
    </w:p>
    <w:p w:rsidR="00160AAA" w:rsidRPr="004B52DE" w:rsidRDefault="00160AAA" w:rsidP="00160AAA">
      <w:pPr>
        <w:pStyle w:val="BodyText"/>
        <w:rPr>
          <w:lang w:val="de-DE"/>
        </w:rPr>
      </w:pPr>
    </w:p>
    <w:p w:rsidR="00B430D3" w:rsidRDefault="00160AAA" w:rsidP="00B7005E">
      <w:pPr>
        <w:pStyle w:val="BodyText"/>
        <w:rPr>
          <w:lang w:val="de-DE"/>
        </w:rPr>
      </w:pPr>
      <w:r w:rsidRPr="00C96942">
        <w:rPr>
          <w:lang w:val="de-DE"/>
        </w:rPr>
        <w:t xml:space="preserve">Eine Übersicht über die Bewegungen der langfristigen immateriellen Vermögensgegenstände und Sachanlagen vom </w:t>
      </w:r>
      <w:r>
        <w:rPr>
          <w:lang w:val="de-DE"/>
        </w:rPr>
        <w:br/>
      </w:r>
      <w:bookmarkStart w:id="17" w:name="OLE_LINK5"/>
      <w:bookmarkStart w:id="18" w:name="OLE_LINK6"/>
      <w:r>
        <w:rPr>
          <w:lang w:val="de-DE"/>
        </w:rPr>
        <w:t xml:space="preserve">1. Januar </w:t>
      </w:r>
      <w:r w:rsidR="0058356A">
        <w:rPr>
          <w:lang w:val="de-DE"/>
        </w:rPr>
        <w:t>201</w:t>
      </w:r>
      <w:r w:rsidR="00171D95">
        <w:rPr>
          <w:lang w:val="de-DE"/>
        </w:rPr>
        <w:t>3</w:t>
      </w:r>
      <w:r w:rsidR="0058356A">
        <w:rPr>
          <w:lang w:val="de-DE"/>
        </w:rPr>
        <w:t xml:space="preserve"> </w:t>
      </w:r>
      <w:r>
        <w:rPr>
          <w:lang w:val="de-DE"/>
        </w:rPr>
        <w:t xml:space="preserve">bis zum 31. Dezember </w:t>
      </w:r>
      <w:bookmarkEnd w:id="17"/>
      <w:bookmarkEnd w:id="18"/>
      <w:r w:rsidR="0058356A">
        <w:rPr>
          <w:lang w:val="de-DE"/>
        </w:rPr>
        <w:t>201</w:t>
      </w:r>
      <w:r w:rsidR="00171D95">
        <w:rPr>
          <w:lang w:val="de-DE"/>
        </w:rPr>
        <w:t>3</w:t>
      </w:r>
      <w:r w:rsidR="0058356A" w:rsidRPr="001B4F2D">
        <w:rPr>
          <w:lang w:val="de-DE"/>
        </w:rPr>
        <w:t xml:space="preserve"> </w:t>
      </w:r>
      <w:r w:rsidRPr="001B4F2D">
        <w:rPr>
          <w:lang w:val="de-DE"/>
        </w:rPr>
        <w:t xml:space="preserve">und für den vergleichbaren Zeitraum vom 1. Januar </w:t>
      </w:r>
      <w:r w:rsidR="0058356A">
        <w:rPr>
          <w:lang w:val="de-DE"/>
        </w:rPr>
        <w:t>201</w:t>
      </w:r>
      <w:r w:rsidR="00171D95">
        <w:rPr>
          <w:lang w:val="de-DE"/>
        </w:rPr>
        <w:t>2</w:t>
      </w:r>
      <w:r w:rsidR="0058356A" w:rsidRPr="001B4F2D">
        <w:rPr>
          <w:lang w:val="de-DE"/>
        </w:rPr>
        <w:t xml:space="preserve"> </w:t>
      </w:r>
      <w:r w:rsidRPr="001B4F2D">
        <w:rPr>
          <w:lang w:val="de-DE"/>
        </w:rPr>
        <w:t>bis zum</w:t>
      </w:r>
      <w:r w:rsidR="00B7005E">
        <w:rPr>
          <w:lang w:val="de-DE"/>
        </w:rPr>
        <w:t xml:space="preserve"> </w:t>
      </w:r>
      <w:r w:rsidR="00B7005E">
        <w:rPr>
          <w:lang w:val="de-DE"/>
        </w:rPr>
        <w:br/>
      </w:r>
      <w:r w:rsidR="00DD2633" w:rsidRPr="001B4F2D">
        <w:rPr>
          <w:lang w:val="de-DE"/>
        </w:rPr>
        <w:t xml:space="preserve">31. Dezember </w:t>
      </w:r>
      <w:r w:rsidR="00DD2633">
        <w:rPr>
          <w:lang w:val="de-DE"/>
        </w:rPr>
        <w:t>201</w:t>
      </w:r>
      <w:r w:rsidR="00171D95">
        <w:rPr>
          <w:lang w:val="de-DE"/>
        </w:rPr>
        <w:t>2</w:t>
      </w:r>
      <w:r w:rsidR="00DD2633" w:rsidRPr="001B4F2D">
        <w:rPr>
          <w:lang w:val="de-DE"/>
        </w:rPr>
        <w:t xml:space="preserve">  ist in de</w:t>
      </w:r>
      <w:r w:rsidR="00DD2633">
        <w:rPr>
          <w:lang w:val="de-DE"/>
        </w:rPr>
        <w:t>n</w:t>
      </w:r>
      <w:r w:rsidR="00DD2633" w:rsidRPr="001B4F2D">
        <w:rPr>
          <w:lang w:val="de-DE"/>
        </w:rPr>
        <w:t xml:space="preserve"> </w:t>
      </w:r>
      <w:r w:rsidR="00DD2633" w:rsidRPr="00596866">
        <w:rPr>
          <w:lang w:val="de-DE"/>
        </w:rPr>
        <w:t>Tabelle</w:t>
      </w:r>
      <w:r w:rsidR="00DD2633">
        <w:rPr>
          <w:lang w:val="de-DE"/>
        </w:rPr>
        <w:t>n</w:t>
      </w:r>
      <w:r w:rsidR="00DD2633" w:rsidRPr="00596866">
        <w:rPr>
          <w:lang w:val="de-DE"/>
        </w:rPr>
        <w:t xml:space="preserve"> auf den </w:t>
      </w:r>
      <w:r w:rsidR="00380CF1">
        <w:rPr>
          <w:lang w:val="de-DE"/>
        </w:rPr>
        <w:t xml:space="preserve">Seiten </w:t>
      </w:r>
      <w:r w:rsidR="00DB33C6" w:rsidRPr="00DB33C6">
        <w:rPr>
          <w:lang w:val="de-DE"/>
        </w:rPr>
        <w:t xml:space="preserve">17 bis </w:t>
      </w:r>
      <w:r w:rsidR="00DB33C6">
        <w:rPr>
          <w:lang w:val="de-DE"/>
        </w:rPr>
        <w:t>20</w:t>
      </w:r>
      <w:r w:rsidR="00380CF1" w:rsidRPr="00837FE6">
        <w:rPr>
          <w:lang w:val="de-DE"/>
        </w:rPr>
        <w:t xml:space="preserve"> dargestellt</w:t>
      </w:r>
      <w:r w:rsidR="00DD2633" w:rsidRPr="00837FE6">
        <w:rPr>
          <w:lang w:val="de-DE"/>
        </w:rPr>
        <w:t>.</w:t>
      </w:r>
    </w:p>
    <w:p w:rsidR="00276C05" w:rsidRDefault="00252994" w:rsidP="00276C05">
      <w:pPr>
        <w:pStyle w:val="BodyText"/>
        <w:rPr>
          <w:i/>
          <w:szCs w:val="18"/>
          <w:u w:val="single"/>
        </w:rPr>
      </w:pPr>
      <w:r>
        <w:rPr>
          <w:i/>
          <w:szCs w:val="18"/>
          <w:u w:val="single"/>
        </w:rPr>
        <w:t>(</w:t>
      </w:r>
      <w:r w:rsidR="00276C05">
        <w:rPr>
          <w:i/>
          <w:szCs w:val="18"/>
          <w:u w:val="single"/>
        </w:rPr>
        <w:t>Der Inhalt, die Anzahl der Zeilen und Spalten in den Übersichten dürfen nicht geändert werden. Diese Information ist zu löschen.</w:t>
      </w:r>
      <w:r>
        <w:rPr>
          <w:i/>
          <w:szCs w:val="18"/>
          <w:u w:val="single"/>
        </w:rPr>
        <w:t>)</w:t>
      </w:r>
    </w:p>
    <w:p w:rsidR="0058356A" w:rsidRDefault="0058356A" w:rsidP="00160AAA">
      <w:pPr>
        <w:pStyle w:val="BodyText"/>
        <w:rPr>
          <w:lang w:val="de-DE"/>
        </w:rPr>
      </w:pPr>
    </w:p>
    <w:p w:rsidR="00160AAA" w:rsidRPr="0031638B" w:rsidRDefault="00160AAA" w:rsidP="00160AAA">
      <w:pPr>
        <w:pStyle w:val="BodyText"/>
        <w:rPr>
          <w:lang w:val="de-DE"/>
        </w:rPr>
      </w:pPr>
      <w:r w:rsidRPr="0031638B">
        <w:rPr>
          <w:lang w:val="de-DE"/>
        </w:rPr>
        <w:t xml:space="preserve">Auf die Fertigungslinie mit einem Restbuchwert von </w:t>
      </w:r>
      <w:r w:rsidRPr="009D33FD">
        <w:rPr>
          <w:lang w:val="de-DE"/>
        </w:rPr>
        <w:t xml:space="preserve">EUR </w:t>
      </w:r>
      <w:r>
        <w:t xml:space="preserve">995 817 </w:t>
      </w:r>
      <w:r w:rsidRPr="0031638B">
        <w:rPr>
          <w:lang w:val="de-DE"/>
        </w:rPr>
        <w:t xml:space="preserve">wurde </w:t>
      </w:r>
      <w:r>
        <w:rPr>
          <w:lang w:val="de-DE"/>
        </w:rPr>
        <w:t>ein</w:t>
      </w:r>
      <w:r w:rsidRPr="0031638B">
        <w:rPr>
          <w:lang w:val="de-DE"/>
        </w:rPr>
        <w:t xml:space="preserve"> Pfandrecht zu Gunsten des Gläubigers eingeräumt. Für die Sicherung des Investitionskredites i.H.v. </w:t>
      </w:r>
      <w:r>
        <w:rPr>
          <w:lang w:val="de-DE"/>
        </w:rPr>
        <w:t>EUR 33</w:t>
      </w:r>
      <w:r w:rsidRPr="009D33FD">
        <w:rPr>
          <w:lang w:val="de-DE"/>
        </w:rPr>
        <w:t>1</w:t>
      </w:r>
      <w:r>
        <w:rPr>
          <w:lang w:val="de-DE"/>
        </w:rPr>
        <w:t xml:space="preserve"> 94</w:t>
      </w:r>
      <w:r w:rsidRPr="009D33FD">
        <w:rPr>
          <w:lang w:val="de-DE"/>
        </w:rPr>
        <w:t xml:space="preserve">0 </w:t>
      </w:r>
      <w:r w:rsidRPr="0031638B">
        <w:rPr>
          <w:lang w:val="de-DE"/>
        </w:rPr>
        <w:t xml:space="preserve">für zwei Fertigungslinien wurde zu Gunsten der Bank </w:t>
      </w:r>
      <w:r>
        <w:rPr>
          <w:lang w:val="de-DE"/>
        </w:rPr>
        <w:t>ein</w:t>
      </w:r>
      <w:r w:rsidRPr="0031638B">
        <w:rPr>
          <w:lang w:val="de-DE"/>
        </w:rPr>
        <w:t xml:space="preserve"> Pfandrecht auf eine Fertigungslinie eingeräumt; der Restbuchwert dieser Lin</w:t>
      </w:r>
      <w:r>
        <w:rPr>
          <w:lang w:val="de-DE"/>
        </w:rPr>
        <w:t>ie beträgt zum 31. Dezember 201</w:t>
      </w:r>
      <w:r w:rsidR="00171D95">
        <w:rPr>
          <w:lang w:val="de-DE"/>
        </w:rPr>
        <w:t>3</w:t>
      </w:r>
      <w:r w:rsidRPr="0031638B">
        <w:rPr>
          <w:lang w:val="de-DE"/>
        </w:rPr>
        <w:t xml:space="preserve"> </w:t>
      </w:r>
      <w:r w:rsidRPr="009D33FD">
        <w:rPr>
          <w:lang w:val="de-DE"/>
        </w:rPr>
        <w:t xml:space="preserve">EUR </w:t>
      </w:r>
      <w:r>
        <w:t>829 848</w:t>
      </w:r>
      <w:r w:rsidRPr="0031638B">
        <w:rPr>
          <w:lang w:val="de-DE"/>
        </w:rPr>
        <w:t xml:space="preserve">. </w:t>
      </w:r>
    </w:p>
    <w:p w:rsidR="00160AAA" w:rsidRDefault="00160AAA" w:rsidP="00160AAA">
      <w:pPr>
        <w:pStyle w:val="BodyText"/>
        <w:rPr>
          <w:lang w:val="de-DE"/>
        </w:rPr>
      </w:pPr>
    </w:p>
    <w:p w:rsidR="00276C05" w:rsidRDefault="00687C63" w:rsidP="00402D73">
      <w:pPr>
        <w:pStyle w:val="BodyText"/>
        <w:rPr>
          <w:szCs w:val="18"/>
          <w:lang w:val="de-DE"/>
        </w:rPr>
      </w:pPr>
      <w:r w:rsidRPr="00687C63">
        <w:rPr>
          <w:szCs w:val="18"/>
          <w:lang w:val="de-DE"/>
        </w:rPr>
        <w:t>Die Angaben über die Pfandrechte zu Sachanlagen werden in der folgenden Übersicht aufgeführt:</w:t>
      </w:r>
    </w:p>
    <w:p w:rsidR="00276C05" w:rsidRDefault="00252994" w:rsidP="00276C05">
      <w:pPr>
        <w:pStyle w:val="BodyText"/>
        <w:rPr>
          <w:i/>
          <w:szCs w:val="18"/>
          <w:u w:val="single"/>
        </w:rPr>
      </w:pPr>
      <w:r>
        <w:rPr>
          <w:i/>
          <w:szCs w:val="18"/>
          <w:u w:val="single"/>
        </w:rPr>
        <w:t>(</w:t>
      </w:r>
      <w:r w:rsidR="00276C05">
        <w:rPr>
          <w:i/>
          <w:szCs w:val="18"/>
          <w:u w:val="single"/>
        </w:rPr>
        <w:t>Der Inhalt, die Anzahl der Zeilen und Spalten in den Tabellen dürfen nicht geändert werden. Diese Information ist zu löschen.</w:t>
      </w:r>
      <w:r>
        <w:rPr>
          <w:i/>
          <w:szCs w:val="18"/>
          <w:u w:val="single"/>
        </w:rPr>
        <w:t>)</w:t>
      </w:r>
    </w:p>
    <w:p w:rsidR="00402D73" w:rsidRDefault="00402D73" w:rsidP="00402D73">
      <w:pPr>
        <w:pStyle w:val="BodyText"/>
        <w:rPr>
          <w:szCs w:val="18"/>
        </w:rPr>
      </w:pPr>
    </w:p>
    <w:bookmarkStart w:id="19" w:name="_MON_1410095678"/>
    <w:bookmarkEnd w:id="19"/>
    <w:p w:rsidR="00160AAA" w:rsidRDefault="00391FEA" w:rsidP="00160AAA">
      <w:pPr>
        <w:pStyle w:val="BodyText"/>
        <w:rPr>
          <w:lang w:val="de-DE"/>
        </w:rPr>
      </w:pPr>
      <w:r w:rsidRPr="0078754C">
        <w:object w:dxaOrig="9505" w:dyaOrig="1403">
          <v:shape id="_x0000_i1028" type="#_x0000_t75" style="width:443.25pt;height:72.75pt" o:ole="" o:preferrelative="f">
            <v:imagedata r:id="rId27" o:title=""/>
            <o:lock v:ext="edit" aspectratio="f"/>
          </v:shape>
          <o:OLEObject Type="Embed" ProgID="Excel.Sheet.12" ShapeID="_x0000_i1028" DrawAspect="Content" ObjectID="_1448991384" r:id="rId28"/>
        </w:object>
      </w:r>
      <w:r w:rsidR="00160AAA" w:rsidRPr="0031638B">
        <w:rPr>
          <w:lang w:val="de-DE"/>
        </w:rPr>
        <w:t xml:space="preserve">Das rechtliche Eigentum auf die </w:t>
      </w:r>
      <w:r w:rsidR="00160AAA" w:rsidRPr="00795EFF">
        <w:rPr>
          <w:lang w:val="de-DE"/>
        </w:rPr>
        <w:t xml:space="preserve">andere </w:t>
      </w:r>
      <w:r w:rsidR="00160AAA" w:rsidRPr="0031638B">
        <w:rPr>
          <w:lang w:val="de-DE"/>
        </w:rPr>
        <w:t>Fertigungslinie, deren Re</w:t>
      </w:r>
      <w:r w:rsidR="00160AAA">
        <w:rPr>
          <w:lang w:val="de-DE"/>
        </w:rPr>
        <w:t xml:space="preserve">stbuchwert zum 31. Dezember </w:t>
      </w:r>
      <w:r w:rsidR="00DD2633">
        <w:rPr>
          <w:lang w:val="de-DE"/>
        </w:rPr>
        <w:t>201</w:t>
      </w:r>
      <w:r w:rsidR="00171D95">
        <w:rPr>
          <w:lang w:val="de-DE"/>
        </w:rPr>
        <w:t>3</w:t>
      </w:r>
      <w:r w:rsidR="00DD2633" w:rsidRPr="0031638B">
        <w:rPr>
          <w:lang w:val="de-DE"/>
        </w:rPr>
        <w:t xml:space="preserve"> </w:t>
      </w:r>
      <w:r w:rsidR="00160AAA" w:rsidRPr="009D33FD">
        <w:rPr>
          <w:lang w:val="de-DE"/>
        </w:rPr>
        <w:t xml:space="preserve">EUR </w:t>
      </w:r>
      <w:r w:rsidR="00160AAA">
        <w:t>829 848</w:t>
      </w:r>
      <w:r w:rsidR="00160AAA" w:rsidRPr="009D33FD">
        <w:rPr>
          <w:lang w:val="de-DE"/>
        </w:rPr>
        <w:t xml:space="preserve"> </w:t>
      </w:r>
      <w:r w:rsidR="00160AAA" w:rsidRPr="0031638B">
        <w:rPr>
          <w:lang w:val="de-DE"/>
        </w:rPr>
        <w:t>beträgt, hat die Bank durch die Sicherungsübereignung erworben und diese Linie wird</w:t>
      </w:r>
      <w:r w:rsidR="00160AAA">
        <w:rPr>
          <w:lang w:val="de-DE"/>
        </w:rPr>
        <w:t xml:space="preserve"> somit </w:t>
      </w:r>
      <w:r w:rsidR="00160AAA" w:rsidRPr="0031638B">
        <w:rPr>
          <w:lang w:val="de-DE"/>
        </w:rPr>
        <w:t xml:space="preserve">von der </w:t>
      </w:r>
      <w:r w:rsidR="00160AAA">
        <w:rPr>
          <w:lang w:val="de-DE"/>
        </w:rPr>
        <w:t>Gesellschaft</w:t>
      </w:r>
      <w:r w:rsidR="00160AAA" w:rsidRPr="0031638B">
        <w:rPr>
          <w:lang w:val="de-DE"/>
        </w:rPr>
        <w:t xml:space="preserve"> auf</w:t>
      </w:r>
      <w:r w:rsidR="00160AAA">
        <w:rPr>
          <w:lang w:val="de-DE"/>
        </w:rPr>
        <w:t xml:space="preserve"> G</w:t>
      </w:r>
      <w:r w:rsidR="00160AAA" w:rsidRPr="0031638B">
        <w:rPr>
          <w:lang w:val="de-DE"/>
        </w:rPr>
        <w:t xml:space="preserve">rund des Ausleihungsvertrages unentgeltlich </w:t>
      </w:r>
      <w:r w:rsidR="00160AAA" w:rsidRPr="00DB6981">
        <w:rPr>
          <w:lang w:val="de-DE"/>
        </w:rPr>
        <w:t>genutzt und bilanziert.</w:t>
      </w:r>
    </w:p>
    <w:p w:rsidR="00160AAA" w:rsidRDefault="00160AAA" w:rsidP="00160AAA">
      <w:pPr>
        <w:pStyle w:val="BodyText"/>
        <w:rPr>
          <w:lang w:val="de-DE"/>
        </w:rPr>
      </w:pPr>
    </w:p>
    <w:p w:rsidR="00160AAA" w:rsidRDefault="00160AAA" w:rsidP="00160AAA">
      <w:pPr>
        <w:pStyle w:val="BodyText"/>
        <w:rPr>
          <w:lang w:val="de-DE"/>
        </w:rPr>
      </w:pPr>
      <w:r w:rsidRPr="00C41CA8">
        <w:rPr>
          <w:lang w:val="de-DE"/>
        </w:rPr>
        <w:t xml:space="preserve">Die Gesellschaft hat drei PKWs zu Anschaffungskosten von </w:t>
      </w:r>
      <w:r w:rsidRPr="009D33FD">
        <w:rPr>
          <w:lang w:val="de-DE"/>
        </w:rPr>
        <w:t xml:space="preserve">EUR </w:t>
      </w:r>
      <w:r>
        <w:t>99 580</w:t>
      </w:r>
      <w:r w:rsidRPr="009D33FD">
        <w:rPr>
          <w:lang w:val="de-DE"/>
        </w:rPr>
        <w:t xml:space="preserve"> </w:t>
      </w:r>
      <w:r w:rsidRPr="00C41CA8">
        <w:rPr>
          <w:lang w:val="de-DE"/>
        </w:rPr>
        <w:t xml:space="preserve">(Restbuchwert zum 31. Dezember </w:t>
      </w:r>
      <w:r w:rsidR="00DD2633">
        <w:rPr>
          <w:lang w:val="de-DE"/>
        </w:rPr>
        <w:t>201</w:t>
      </w:r>
      <w:r w:rsidR="00171D95">
        <w:rPr>
          <w:lang w:val="de-DE"/>
        </w:rPr>
        <w:t>2</w:t>
      </w:r>
      <w:r>
        <w:rPr>
          <w:lang w:val="de-DE"/>
        </w:rPr>
        <w:t xml:space="preserve">: EUR </w:t>
      </w:r>
      <w:r w:rsidRPr="009D33FD">
        <w:rPr>
          <w:lang w:val="de-DE"/>
        </w:rPr>
        <w:t>74</w:t>
      </w:r>
      <w:r>
        <w:rPr>
          <w:lang w:val="de-DE"/>
        </w:rPr>
        <w:t xml:space="preserve"> </w:t>
      </w:r>
      <w:r w:rsidRPr="009D33FD">
        <w:rPr>
          <w:lang w:val="de-DE"/>
        </w:rPr>
        <w:t>686</w:t>
      </w:r>
      <w:r>
        <w:rPr>
          <w:lang w:val="de-DE"/>
        </w:rPr>
        <w:t xml:space="preserve">, zum </w:t>
      </w:r>
      <w:r w:rsidRPr="00C41CA8">
        <w:rPr>
          <w:lang w:val="de-DE"/>
        </w:rPr>
        <w:t xml:space="preserve">31. Dezember </w:t>
      </w:r>
      <w:r w:rsidR="00DD2633">
        <w:rPr>
          <w:lang w:val="de-DE"/>
        </w:rPr>
        <w:t>201</w:t>
      </w:r>
      <w:r w:rsidR="00171D95">
        <w:rPr>
          <w:lang w:val="de-DE"/>
        </w:rPr>
        <w:t>3</w:t>
      </w:r>
      <w:r>
        <w:rPr>
          <w:lang w:val="de-DE"/>
        </w:rPr>
        <w:t xml:space="preserve">: </w:t>
      </w:r>
      <w:r w:rsidRPr="009D33FD">
        <w:rPr>
          <w:lang w:val="de-DE"/>
        </w:rPr>
        <w:t xml:space="preserve">EUR </w:t>
      </w:r>
      <w:r>
        <w:t>49 781</w:t>
      </w:r>
      <w:r w:rsidRPr="00C41CA8">
        <w:rPr>
          <w:lang w:val="de-DE"/>
        </w:rPr>
        <w:t>)</w:t>
      </w:r>
      <w:r w:rsidR="00DD2633">
        <w:rPr>
          <w:lang w:val="de-DE"/>
        </w:rPr>
        <w:t xml:space="preserve"> </w:t>
      </w:r>
      <w:r w:rsidRPr="00C41CA8">
        <w:rPr>
          <w:lang w:val="de-DE"/>
        </w:rPr>
        <w:t xml:space="preserve"> und eine CNC </w:t>
      </w:r>
      <w:r>
        <w:rPr>
          <w:lang w:val="de-DE"/>
        </w:rPr>
        <w:t>Maschine zu</w:t>
      </w:r>
      <w:r w:rsidRPr="00C41CA8">
        <w:rPr>
          <w:lang w:val="de-DE"/>
        </w:rPr>
        <w:t xml:space="preserve"> Anschaffungs</w:t>
      </w:r>
      <w:r>
        <w:rPr>
          <w:lang w:val="de-DE"/>
        </w:rPr>
        <w:t>kosten</w:t>
      </w:r>
      <w:r w:rsidRPr="00C41CA8">
        <w:rPr>
          <w:lang w:val="de-DE"/>
        </w:rPr>
        <w:t xml:space="preserve"> von </w:t>
      </w:r>
      <w:r w:rsidRPr="009D33FD">
        <w:rPr>
          <w:lang w:val="de-DE"/>
        </w:rPr>
        <w:t xml:space="preserve">EUR </w:t>
      </w:r>
      <w:r>
        <w:t>148 808</w:t>
      </w:r>
      <w:r w:rsidRPr="009D33FD">
        <w:rPr>
          <w:lang w:val="de-DE"/>
        </w:rPr>
        <w:t xml:space="preserve"> </w:t>
      </w:r>
      <w:r w:rsidRPr="00C41CA8">
        <w:rPr>
          <w:lang w:val="de-DE"/>
        </w:rPr>
        <w:t>(Re</w:t>
      </w:r>
      <w:r>
        <w:rPr>
          <w:lang w:val="de-DE"/>
        </w:rPr>
        <w:t xml:space="preserve">stbuchwert zum 31. Dezember </w:t>
      </w:r>
      <w:r w:rsidR="00DD2633">
        <w:rPr>
          <w:lang w:val="de-DE"/>
        </w:rPr>
        <w:t>201</w:t>
      </w:r>
      <w:r w:rsidR="00171D95">
        <w:rPr>
          <w:lang w:val="de-DE"/>
        </w:rPr>
        <w:t>2</w:t>
      </w:r>
      <w:r>
        <w:rPr>
          <w:lang w:val="de-DE"/>
        </w:rPr>
        <w:t xml:space="preserve">: </w:t>
      </w:r>
      <w:r w:rsidRPr="009D33FD">
        <w:rPr>
          <w:lang w:val="de-DE"/>
        </w:rPr>
        <w:t xml:space="preserve">EUR </w:t>
      </w:r>
      <w:r>
        <w:t>123 980</w:t>
      </w:r>
      <w:r>
        <w:rPr>
          <w:lang w:val="de-DE"/>
        </w:rPr>
        <w:t xml:space="preserve">, zum </w:t>
      </w:r>
      <w:r w:rsidRPr="00C41CA8">
        <w:rPr>
          <w:lang w:val="de-DE"/>
        </w:rPr>
        <w:t xml:space="preserve">31. Dezember </w:t>
      </w:r>
      <w:r>
        <w:rPr>
          <w:lang w:val="de-DE"/>
        </w:rPr>
        <w:t>201</w:t>
      </w:r>
      <w:r w:rsidR="00171D95">
        <w:rPr>
          <w:lang w:val="de-DE"/>
        </w:rPr>
        <w:t>3</w:t>
      </w:r>
      <w:r>
        <w:rPr>
          <w:lang w:val="de-DE"/>
        </w:rPr>
        <w:t xml:space="preserve">: </w:t>
      </w:r>
      <w:r w:rsidRPr="009D33FD">
        <w:rPr>
          <w:lang w:val="de-DE"/>
        </w:rPr>
        <w:t xml:space="preserve">EUR </w:t>
      </w:r>
      <w:r>
        <w:t>99 183</w:t>
      </w:r>
      <w:r w:rsidRPr="00C41CA8">
        <w:rPr>
          <w:lang w:val="de-DE"/>
        </w:rPr>
        <w:t xml:space="preserve">) gemietet, die durch die Gesellschaft bilanziert werden. </w:t>
      </w:r>
    </w:p>
    <w:p w:rsidR="00160AAA" w:rsidRDefault="00160AAA" w:rsidP="00160AAA">
      <w:pPr>
        <w:pStyle w:val="BodyText"/>
        <w:rPr>
          <w:lang w:val="de-DE"/>
        </w:rPr>
      </w:pPr>
    </w:p>
    <w:p w:rsidR="00160AAA" w:rsidRDefault="00160AAA" w:rsidP="00160AAA">
      <w:pPr>
        <w:pStyle w:val="BodyText"/>
        <w:rPr>
          <w:lang w:val="de-DE"/>
        </w:rPr>
      </w:pPr>
      <w:r>
        <w:rPr>
          <w:lang w:val="de-DE"/>
        </w:rPr>
        <w:t xml:space="preserve">Die Gesellschaft hat im Jahr </w:t>
      </w:r>
      <w:r w:rsidR="00DD2633">
        <w:rPr>
          <w:lang w:val="de-DE"/>
        </w:rPr>
        <w:t>201</w:t>
      </w:r>
      <w:r w:rsidR="00171D95">
        <w:rPr>
          <w:lang w:val="de-DE"/>
        </w:rPr>
        <w:t>3</w:t>
      </w:r>
      <w:r w:rsidR="00DD2633">
        <w:rPr>
          <w:lang w:val="de-DE"/>
        </w:rPr>
        <w:t xml:space="preserve"> </w:t>
      </w:r>
      <w:r>
        <w:rPr>
          <w:lang w:val="de-DE"/>
        </w:rPr>
        <w:t xml:space="preserve">ein Immobilienvermögen (Grundstück) i.H.v. </w:t>
      </w:r>
      <w:r w:rsidRPr="009D33FD">
        <w:rPr>
          <w:lang w:val="de-DE"/>
        </w:rPr>
        <w:t xml:space="preserve">EUR </w:t>
      </w:r>
      <w:r>
        <w:t>29 211</w:t>
      </w:r>
      <w:r w:rsidRPr="009D33FD">
        <w:rPr>
          <w:lang w:val="de-DE"/>
        </w:rPr>
        <w:t xml:space="preserve"> </w:t>
      </w:r>
      <w:r>
        <w:rPr>
          <w:lang w:val="de-DE"/>
        </w:rPr>
        <w:t xml:space="preserve">erworben und zum 31. Dezember </w:t>
      </w:r>
      <w:r w:rsidR="00DD2633">
        <w:rPr>
          <w:lang w:val="de-DE"/>
        </w:rPr>
        <w:t>201</w:t>
      </w:r>
      <w:r w:rsidR="00171D95">
        <w:rPr>
          <w:lang w:val="de-DE"/>
        </w:rPr>
        <w:t>3</w:t>
      </w:r>
      <w:r w:rsidR="00DD2633">
        <w:rPr>
          <w:lang w:val="de-DE"/>
        </w:rPr>
        <w:t xml:space="preserve"> </w:t>
      </w:r>
      <w:r>
        <w:rPr>
          <w:lang w:val="de-DE"/>
        </w:rPr>
        <w:t xml:space="preserve">wird dieses in der Bilanz ausgewiesen. Das rechtliche Eigentum an dem Grundstück, wurde im Januar </w:t>
      </w:r>
      <w:r w:rsidR="00DD2633">
        <w:rPr>
          <w:lang w:val="de-DE"/>
        </w:rPr>
        <w:t>201</w:t>
      </w:r>
      <w:r w:rsidR="00171D95">
        <w:rPr>
          <w:lang w:val="de-DE"/>
        </w:rPr>
        <w:t>4</w:t>
      </w:r>
      <w:r w:rsidR="00DD2633">
        <w:rPr>
          <w:lang w:val="de-DE"/>
        </w:rPr>
        <w:t xml:space="preserve"> </w:t>
      </w:r>
      <w:r>
        <w:rPr>
          <w:lang w:val="de-DE"/>
        </w:rPr>
        <w:t>auf die Gesellschaft übertragen.</w:t>
      </w:r>
    </w:p>
    <w:p w:rsidR="009D080A" w:rsidRDefault="009D080A" w:rsidP="00160AAA">
      <w:pPr>
        <w:pStyle w:val="BodyText"/>
        <w:rPr>
          <w:lang w:val="de-DE"/>
        </w:rPr>
      </w:pPr>
    </w:p>
    <w:p w:rsidR="00D740B6" w:rsidRPr="00AC0D5A" w:rsidRDefault="00027877" w:rsidP="00160AAA">
      <w:pPr>
        <w:pStyle w:val="BodyText"/>
        <w:rPr>
          <w:lang w:val="de-DE"/>
        </w:rPr>
      </w:pPr>
      <w:r w:rsidRPr="00DB33C6">
        <w:rPr>
          <w:lang w:val="de-DE"/>
        </w:rPr>
        <w:t>Die Buchf</w:t>
      </w:r>
      <w:r w:rsidRPr="00DB33C6">
        <w:rPr>
          <w:szCs w:val="18"/>
          <w:lang w:val="de-DE"/>
        </w:rPr>
        <w:t>ührungseinheit hat bei a</w:t>
      </w:r>
      <w:r w:rsidRPr="00DB33C6">
        <w:rPr>
          <w:lang w:val="de-DE"/>
        </w:rPr>
        <w:t>ngeführten Sachanlagen</w:t>
      </w:r>
      <w:r w:rsidR="0025303E" w:rsidRPr="00DB33C6">
        <w:rPr>
          <w:lang w:val="de-DE"/>
        </w:rPr>
        <w:t xml:space="preserve"> </w:t>
      </w:r>
      <w:r w:rsidR="0025303E" w:rsidRPr="00DB33C6">
        <w:rPr>
          <w:szCs w:val="18"/>
          <w:lang w:val="de-DE"/>
        </w:rPr>
        <w:t>beschr</w:t>
      </w:r>
      <w:r w:rsidR="0025303E" w:rsidRPr="00DB33C6">
        <w:rPr>
          <w:szCs w:val="18"/>
        </w:rPr>
        <w:t>ä</w:t>
      </w:r>
      <w:r w:rsidR="0025303E" w:rsidRPr="00DB33C6">
        <w:rPr>
          <w:szCs w:val="18"/>
          <w:lang w:val="de-DE"/>
        </w:rPr>
        <w:t>nkte Verfügungsrechte</w:t>
      </w:r>
      <w:r w:rsidRPr="00DB33C6">
        <w:rPr>
          <w:szCs w:val="18"/>
          <w:lang w:val="de-DE"/>
        </w:rPr>
        <w:t>. Diese betragen insgesamt EUR 1 008 023 in der laufenden Buchungsperiode.</w:t>
      </w:r>
    </w:p>
    <w:p w:rsidR="00160AAA" w:rsidRDefault="00160AAA" w:rsidP="00160AAA">
      <w:pPr>
        <w:pStyle w:val="BodyText"/>
        <w:rPr>
          <w:lang w:val="de-DE"/>
        </w:rPr>
      </w:pPr>
    </w:p>
    <w:p w:rsidR="00160AAA" w:rsidRDefault="00160AAA" w:rsidP="00160AAA">
      <w:pPr>
        <w:pStyle w:val="BodyText"/>
        <w:rPr>
          <w:lang w:val="de-DE"/>
        </w:rPr>
      </w:pPr>
      <w:r>
        <w:rPr>
          <w:lang w:val="de-DE"/>
        </w:rPr>
        <w:t xml:space="preserve">Zu der nicht mehr verwendbaren Verpackungsmaschine wurde eine Wertberichtigung i.H.v. </w:t>
      </w:r>
      <w:r w:rsidRPr="009D33FD">
        <w:rPr>
          <w:lang w:val="de-DE"/>
        </w:rPr>
        <w:t>EUR 66</w:t>
      </w:r>
      <w:r>
        <w:rPr>
          <w:lang w:val="de-DE"/>
        </w:rPr>
        <w:t xml:space="preserve"> 388</w:t>
      </w:r>
      <w:r w:rsidRPr="009D33FD">
        <w:rPr>
          <w:lang w:val="de-DE"/>
        </w:rPr>
        <w:t xml:space="preserve"> </w:t>
      </w:r>
      <w:r>
        <w:rPr>
          <w:lang w:val="de-DE"/>
        </w:rPr>
        <w:t xml:space="preserve">gebildet, dadurch wurde ihr Restbuchwert auf den geschätzten Verkaufswert </w:t>
      </w:r>
      <w:r w:rsidR="00DA08B3">
        <w:rPr>
          <w:lang w:val="de-DE"/>
        </w:rPr>
        <w:t>(abz</w:t>
      </w:r>
      <w:r w:rsidR="00DA08B3" w:rsidRPr="00AA10BB">
        <w:rPr>
          <w:lang w:val="de-DE"/>
        </w:rPr>
        <w:t>ü</w:t>
      </w:r>
      <w:r w:rsidR="00DA08B3">
        <w:rPr>
          <w:lang w:val="de-DE"/>
        </w:rPr>
        <w:t>glich der noch mit dem Verkauf zusammenh</w:t>
      </w:r>
      <w:r w:rsidR="00DA08B3">
        <w:t>ä</w:t>
      </w:r>
      <w:r w:rsidR="00DA08B3">
        <w:rPr>
          <w:lang w:val="de-DE"/>
        </w:rPr>
        <w:t xml:space="preserve">ngenden Kosten) </w:t>
      </w:r>
      <w:r>
        <w:rPr>
          <w:lang w:val="de-DE"/>
        </w:rPr>
        <w:t xml:space="preserve">von </w:t>
      </w:r>
      <w:r w:rsidRPr="009D33FD">
        <w:rPr>
          <w:lang w:val="de-DE"/>
        </w:rPr>
        <w:t xml:space="preserve">EUR </w:t>
      </w:r>
      <w:r>
        <w:rPr>
          <w:lang w:val="de-DE"/>
        </w:rPr>
        <w:t xml:space="preserve">16 </w:t>
      </w:r>
      <w:r w:rsidRPr="009D33FD">
        <w:rPr>
          <w:lang w:val="de-DE"/>
        </w:rPr>
        <w:t xml:space="preserve">600 </w:t>
      </w:r>
      <w:r>
        <w:rPr>
          <w:lang w:val="de-DE"/>
        </w:rPr>
        <w:t>herabgesetzt.</w:t>
      </w:r>
    </w:p>
    <w:p w:rsidR="00160AAA" w:rsidRPr="00561333" w:rsidRDefault="00160AAA" w:rsidP="00160AAA">
      <w:pPr>
        <w:pStyle w:val="BodyText"/>
        <w:rPr>
          <w:highlight w:val="yellow"/>
          <w:lang w:val="de-DE"/>
        </w:rPr>
      </w:pPr>
    </w:p>
    <w:p w:rsidR="00160AAA" w:rsidRDefault="00160AAA" w:rsidP="00160AAA">
      <w:pPr>
        <w:pStyle w:val="BodyText"/>
        <w:rPr>
          <w:lang w:val="de-DE"/>
        </w:rPr>
      </w:pPr>
      <w:r>
        <w:rPr>
          <w:lang w:val="de-DE"/>
        </w:rPr>
        <w:t xml:space="preserve">Die Sachanlagen sind bis zu einer Höhe von </w:t>
      </w:r>
      <w:r w:rsidRPr="009D33FD">
        <w:rPr>
          <w:lang w:val="de-DE"/>
        </w:rPr>
        <w:t>TEUR 3</w:t>
      </w:r>
      <w:r>
        <w:rPr>
          <w:lang w:val="de-DE"/>
        </w:rPr>
        <w:t xml:space="preserve"> </w:t>
      </w:r>
      <w:r w:rsidRPr="009D33FD">
        <w:rPr>
          <w:lang w:val="de-DE"/>
        </w:rPr>
        <w:t xml:space="preserve">300 </w:t>
      </w:r>
      <w:r>
        <w:rPr>
          <w:lang w:val="de-DE"/>
        </w:rPr>
        <w:t>(</w:t>
      </w:r>
      <w:r w:rsidR="00DD2633">
        <w:rPr>
          <w:lang w:val="de-DE"/>
        </w:rPr>
        <w:t>201</w:t>
      </w:r>
      <w:r w:rsidR="00171D95">
        <w:rPr>
          <w:lang w:val="de-DE"/>
        </w:rPr>
        <w:t>2</w:t>
      </w:r>
      <w:r>
        <w:rPr>
          <w:lang w:val="de-DE"/>
        </w:rPr>
        <w:t>: TEUR 3 000) gegen Schäden durch Diebstahl oder Naturkatastrophen versichert.</w:t>
      </w:r>
    </w:p>
    <w:p w:rsidR="00160AAA" w:rsidRDefault="00160AAA" w:rsidP="00160AAA">
      <w:pPr>
        <w:pStyle w:val="BodyText"/>
        <w:rPr>
          <w:lang w:val="de-DE"/>
        </w:rPr>
      </w:pPr>
    </w:p>
    <w:p w:rsidR="00160AAA" w:rsidRPr="00AA10BB" w:rsidRDefault="00160AAA" w:rsidP="00160AAA">
      <w:pPr>
        <w:pStyle w:val="BodyText"/>
        <w:rPr>
          <w:lang w:val="de-DE"/>
        </w:rPr>
      </w:pPr>
      <w:r w:rsidRPr="00AA10BB">
        <w:rPr>
          <w:lang w:val="de-DE"/>
        </w:rPr>
        <w:t>Die Übersicht über die Aufwendungen für Forschung und Entwicklung:</w:t>
      </w:r>
    </w:p>
    <w:p w:rsidR="00276C05" w:rsidRDefault="00252994" w:rsidP="00276C05">
      <w:pPr>
        <w:pStyle w:val="BodyText"/>
        <w:rPr>
          <w:i/>
          <w:szCs w:val="18"/>
          <w:u w:val="single"/>
        </w:rPr>
      </w:pPr>
      <w:r>
        <w:rPr>
          <w:i/>
          <w:szCs w:val="18"/>
          <w:u w:val="single"/>
        </w:rPr>
        <w:t>(</w:t>
      </w:r>
      <w:r w:rsidR="00276C05">
        <w:rPr>
          <w:i/>
          <w:szCs w:val="18"/>
          <w:u w:val="single"/>
        </w:rPr>
        <w:t>Die Form</w:t>
      </w:r>
      <w:r w:rsidR="0066795C">
        <w:rPr>
          <w:i/>
          <w:szCs w:val="18"/>
          <w:u w:val="single"/>
        </w:rPr>
        <w:t xml:space="preserve"> und die Art der Angabe der Informationen sind nicht vorgeschrieben.</w:t>
      </w:r>
      <w:r w:rsidR="00276C05">
        <w:rPr>
          <w:i/>
          <w:szCs w:val="18"/>
          <w:u w:val="single"/>
        </w:rPr>
        <w:t xml:space="preserve"> Diese Information ist zu löschen.</w:t>
      </w:r>
      <w:r>
        <w:rPr>
          <w:i/>
          <w:szCs w:val="18"/>
          <w:u w:val="single"/>
        </w:rPr>
        <w:t>)</w:t>
      </w:r>
    </w:p>
    <w:p w:rsidR="00160AAA" w:rsidRPr="00AA10BB" w:rsidRDefault="00160AAA" w:rsidP="00B55A09">
      <w:pPr>
        <w:pStyle w:val="BodyText"/>
        <w:rPr>
          <w:lang w:val="de-DE"/>
        </w:rPr>
      </w:pPr>
    </w:p>
    <w:bookmarkStart w:id="20" w:name="_MON_1410945623"/>
    <w:bookmarkEnd w:id="20"/>
    <w:p w:rsidR="00160AAA" w:rsidRPr="00270DBD" w:rsidRDefault="00171D95" w:rsidP="00B55A09">
      <w:pPr>
        <w:spacing w:after="200" w:line="276" w:lineRule="auto"/>
        <w:ind w:left="426"/>
        <w:rPr>
          <w:sz w:val="18"/>
          <w:szCs w:val="18"/>
        </w:rPr>
      </w:pPr>
      <w:r>
        <w:object w:dxaOrig="9021" w:dyaOrig="1716">
          <v:shape id="_x0000_i1029" type="#_x0000_t75" style="width:439.5pt;height:93pt" o:ole="" o:preferrelative="f">
            <v:imagedata r:id="rId29" o:title=""/>
            <o:lock v:ext="edit" aspectratio="f"/>
          </v:shape>
          <o:OLEObject Type="Embed" ProgID="Excel.Sheet.12" ShapeID="_x0000_i1029" DrawAspect="Content" ObjectID="_1448991385" r:id="rId30"/>
        </w:object>
      </w:r>
    </w:p>
    <w:p w:rsidR="00365CE5" w:rsidRPr="00270DBD" w:rsidRDefault="00365CE5">
      <w:pPr>
        <w:spacing w:after="200" w:line="276" w:lineRule="auto"/>
        <w:rPr>
          <w:i/>
          <w:sz w:val="18"/>
          <w:szCs w:val="18"/>
          <w:highlight w:val="green"/>
        </w:rPr>
      </w:pPr>
      <w:r w:rsidRPr="00270DBD">
        <w:rPr>
          <w:i/>
          <w:sz w:val="18"/>
          <w:szCs w:val="18"/>
          <w:highlight w:val="green"/>
        </w:rPr>
        <w:br w:type="page"/>
      </w:r>
    </w:p>
    <w:p w:rsidR="00DD2633" w:rsidRPr="00365CE5" w:rsidRDefault="008C782B" w:rsidP="00DD2633">
      <w:pPr>
        <w:spacing w:after="200" w:line="276" w:lineRule="auto"/>
        <w:ind w:left="426"/>
        <w:jc w:val="both"/>
        <w:rPr>
          <w:i/>
          <w:sz w:val="18"/>
          <w:szCs w:val="18"/>
        </w:rPr>
      </w:pPr>
      <w:r w:rsidRPr="008C782B">
        <w:rPr>
          <w:i/>
          <w:sz w:val="18"/>
          <w:szCs w:val="18"/>
        </w:rPr>
        <w:lastRenderedPageBreak/>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66795C" w:rsidRDefault="0066795C" w:rsidP="0066795C">
      <w:pPr>
        <w:pStyle w:val="BodyText"/>
        <w:rPr>
          <w:szCs w:val="18"/>
        </w:rPr>
      </w:pPr>
    </w:p>
    <w:p w:rsidR="0066795C" w:rsidRDefault="00DD2633" w:rsidP="0066795C">
      <w:pPr>
        <w:pStyle w:val="BodyText"/>
        <w:rPr>
          <w:szCs w:val="18"/>
        </w:rPr>
      </w:pPr>
      <w:r>
        <w:rPr>
          <w:szCs w:val="18"/>
        </w:rPr>
        <w:t xml:space="preserve">Die Angaben über Pfandrechte zu Sachanlagen werden in folgender Tabelle aufgeführt: </w:t>
      </w:r>
    </w:p>
    <w:p w:rsidR="0066795C" w:rsidRDefault="00252994" w:rsidP="0066795C">
      <w:pPr>
        <w:pStyle w:val="BodyText"/>
        <w:rPr>
          <w:i/>
          <w:szCs w:val="18"/>
          <w:u w:val="single"/>
        </w:rPr>
      </w:pPr>
      <w:r>
        <w:rPr>
          <w:i/>
          <w:szCs w:val="18"/>
          <w:u w:val="single"/>
        </w:rPr>
        <w:t>(</w:t>
      </w:r>
      <w:r w:rsidR="0066795C">
        <w:rPr>
          <w:i/>
          <w:szCs w:val="18"/>
          <w:u w:val="single"/>
        </w:rPr>
        <w:t>Der Inhalt, die Anzahl der Zeilen und Spalten in den Übersichten dürfen nicht geändert werden. Diese Information ist zu löschen.</w:t>
      </w:r>
      <w:r>
        <w:rPr>
          <w:i/>
          <w:szCs w:val="18"/>
          <w:u w:val="single"/>
        </w:rPr>
        <w:t>)</w:t>
      </w:r>
    </w:p>
    <w:p w:rsidR="0066795C" w:rsidRPr="00270DBD" w:rsidRDefault="0066795C" w:rsidP="00B55A09">
      <w:pPr>
        <w:ind w:left="425"/>
        <w:rPr>
          <w:sz w:val="18"/>
          <w:szCs w:val="18"/>
        </w:rPr>
      </w:pPr>
    </w:p>
    <w:bookmarkStart w:id="21" w:name="_MON_1406016656"/>
    <w:bookmarkEnd w:id="21"/>
    <w:p w:rsidR="00F01166" w:rsidRDefault="00391FEA">
      <w:pPr>
        <w:pStyle w:val="Heading2"/>
        <w:numPr>
          <w:ilvl w:val="0"/>
          <w:numId w:val="0"/>
        </w:numPr>
        <w:ind w:left="360"/>
      </w:pPr>
      <w:r w:rsidRPr="0078754C">
        <w:object w:dxaOrig="9229" w:dyaOrig="1403">
          <v:shape id="_x0000_i1030" type="#_x0000_t75" style="width:435.75pt;height:73.5pt" o:ole="" o:preferrelative="f">
            <v:imagedata r:id="rId31" o:title=""/>
            <o:lock v:ext="edit" aspectratio="f"/>
          </v:shape>
          <o:OLEObject Type="Embed" ProgID="Excel.Sheet.12" ShapeID="_x0000_i1030" DrawAspect="Content" ObjectID="_1448991386" r:id="rId32"/>
        </w:object>
      </w:r>
    </w:p>
    <w:p w:rsidR="00087FD0" w:rsidRDefault="00087FD0" w:rsidP="00087FD0">
      <w:pPr>
        <w:pStyle w:val="BodyText"/>
      </w:pPr>
      <w:r w:rsidRPr="008C782B">
        <w:rPr>
          <w:i/>
          <w:szCs w:val="18"/>
        </w:rPr>
        <w:t xml:space="preserve">Wenn die Buchführungseinheit einen Inhalt für sie hat, hat sie in dieser die erforderlichen Informationen anzugeben. </w:t>
      </w:r>
      <w:r>
        <w:rPr>
          <w:i/>
          <w:szCs w:val="18"/>
        </w:rPr>
        <w:t>Andernfalls</w:t>
      </w:r>
      <w:r w:rsidRPr="008C782B">
        <w:rPr>
          <w:i/>
          <w:szCs w:val="18"/>
        </w:rPr>
        <w:t xml:space="preserve"> ist sie inklusive dieser Information zu löschen</w:t>
      </w:r>
      <w:r w:rsidR="0025303E">
        <w:t>.</w:t>
      </w:r>
    </w:p>
    <w:p w:rsidR="00860DA4" w:rsidRDefault="00860DA4">
      <w:pPr>
        <w:ind w:left="426"/>
        <w:rPr>
          <w:sz w:val="18"/>
          <w:szCs w:val="18"/>
          <w:highlight w:val="cyan"/>
        </w:rPr>
      </w:pPr>
    </w:p>
    <w:p w:rsidR="00860DA4" w:rsidRDefault="00860DA4">
      <w:pPr>
        <w:ind w:left="426"/>
        <w:rPr>
          <w:sz w:val="18"/>
          <w:szCs w:val="18"/>
          <w:highlight w:val="cyan"/>
        </w:rPr>
      </w:pPr>
    </w:p>
    <w:p w:rsidR="00027877" w:rsidRDefault="00027877" w:rsidP="00027877">
      <w:pPr>
        <w:ind w:left="426"/>
        <w:rPr>
          <w:sz w:val="18"/>
          <w:szCs w:val="18"/>
        </w:rPr>
      </w:pPr>
      <w:r w:rsidRPr="00DB33C6">
        <w:rPr>
          <w:sz w:val="18"/>
          <w:szCs w:val="18"/>
        </w:rPr>
        <w:t xml:space="preserve">Wert </w:t>
      </w:r>
      <w:r w:rsidR="005506D2" w:rsidRPr="00DB33C6">
        <w:rPr>
          <w:sz w:val="18"/>
          <w:szCs w:val="18"/>
        </w:rPr>
        <w:t>der</w:t>
      </w:r>
      <w:r w:rsidRPr="00DB33C6">
        <w:rPr>
          <w:sz w:val="18"/>
          <w:szCs w:val="18"/>
        </w:rPr>
        <w:t xml:space="preserve"> Sachanlagen, </w:t>
      </w:r>
      <w:r w:rsidRPr="00DB33C6">
        <w:rPr>
          <w:sz w:val="18"/>
          <w:szCs w:val="18"/>
          <w:lang w:val="de-DE"/>
        </w:rPr>
        <w:t>bei welchen die Buchführungseinheit beschr</w:t>
      </w:r>
      <w:r w:rsidRPr="00DB33C6">
        <w:rPr>
          <w:sz w:val="18"/>
          <w:szCs w:val="18"/>
        </w:rPr>
        <w:t>ä</w:t>
      </w:r>
      <w:r w:rsidRPr="00DB33C6">
        <w:rPr>
          <w:sz w:val="18"/>
          <w:szCs w:val="18"/>
          <w:lang w:val="de-DE"/>
        </w:rPr>
        <w:t>nkte Verfügungsrechte hat, betr</w:t>
      </w:r>
      <w:r w:rsidR="00B235D7" w:rsidRPr="00DB33C6">
        <w:rPr>
          <w:sz w:val="18"/>
          <w:szCs w:val="18"/>
          <w:lang w:val="de-DE"/>
        </w:rPr>
        <w:t>ägt</w:t>
      </w:r>
      <w:r w:rsidRPr="00DB33C6">
        <w:rPr>
          <w:sz w:val="18"/>
          <w:szCs w:val="18"/>
          <w:lang w:val="de-DE"/>
        </w:rPr>
        <w:t xml:space="preserve"> EUR </w:t>
      </w:r>
      <w:r w:rsidR="00B235D7" w:rsidRPr="00DB33C6">
        <w:rPr>
          <w:sz w:val="18"/>
          <w:szCs w:val="18"/>
          <w:lang w:val="de-DE"/>
        </w:rPr>
        <w:t xml:space="preserve">xxx und </w:t>
      </w:r>
      <w:r w:rsidR="0025303E" w:rsidRPr="00DB33C6">
        <w:rPr>
          <w:sz w:val="18"/>
          <w:szCs w:val="18"/>
          <w:lang w:val="de-DE"/>
        </w:rPr>
        <w:t xml:space="preserve"> es handelt sich um</w:t>
      </w:r>
      <w:r w:rsidR="00B235D7" w:rsidRPr="00DB33C6">
        <w:rPr>
          <w:sz w:val="18"/>
          <w:szCs w:val="18"/>
          <w:lang w:val="de-DE"/>
        </w:rPr>
        <w:t xml:space="preserve"> die folgende Sachanlagen dargestell</w:t>
      </w:r>
      <w:r w:rsidR="0025303E" w:rsidRPr="00DB33C6">
        <w:rPr>
          <w:sz w:val="18"/>
          <w:szCs w:val="18"/>
          <w:lang w:val="de-DE"/>
        </w:rPr>
        <w:t xml:space="preserve">t: </w:t>
      </w:r>
      <w:r w:rsidRPr="00027877">
        <w:rPr>
          <w:sz w:val="18"/>
          <w:szCs w:val="18"/>
        </w:rPr>
        <w:tab/>
      </w:r>
    </w:p>
    <w:p w:rsidR="00027877" w:rsidRDefault="00027877" w:rsidP="00027877">
      <w:pPr>
        <w:ind w:left="426"/>
        <w:rPr>
          <w:sz w:val="18"/>
          <w:szCs w:val="18"/>
        </w:rPr>
      </w:pPr>
    </w:p>
    <w:p w:rsidR="00B51D94" w:rsidRDefault="00B51D94">
      <w:pPr>
        <w:rPr>
          <w:szCs w:val="18"/>
        </w:rPr>
      </w:pPr>
      <w:r>
        <w:rPr>
          <w:szCs w:val="18"/>
        </w:rPr>
        <w:tab/>
      </w:r>
    </w:p>
    <w:p w:rsidR="00F01166" w:rsidRDefault="00B7005E">
      <w:pPr>
        <w:pStyle w:val="Heading2"/>
        <w:numPr>
          <w:ilvl w:val="0"/>
          <w:numId w:val="17"/>
        </w:numPr>
        <w:rPr>
          <w:lang w:val="de-DE"/>
        </w:rPr>
      </w:pPr>
      <w:r>
        <w:rPr>
          <w:lang w:val="de-DE"/>
        </w:rPr>
        <w:t xml:space="preserve"> </w:t>
      </w:r>
      <w:r w:rsidR="00DB2C88" w:rsidRPr="00B7005E">
        <w:rPr>
          <w:lang w:val="de-DE"/>
        </w:rPr>
        <w:t>Finanzanlagen</w:t>
      </w:r>
    </w:p>
    <w:p w:rsidR="00B55A09" w:rsidRPr="00561333" w:rsidRDefault="00B55A09" w:rsidP="00B55A09">
      <w:pPr>
        <w:pStyle w:val="BodyText"/>
        <w:rPr>
          <w:highlight w:val="yellow"/>
          <w:lang w:val="de-DE"/>
        </w:rPr>
      </w:pPr>
    </w:p>
    <w:p w:rsidR="00402D73" w:rsidRDefault="00402D73" w:rsidP="00402D73">
      <w:pPr>
        <w:pStyle w:val="BodyText"/>
        <w:rPr>
          <w:lang w:val="de-DE"/>
        </w:rPr>
      </w:pPr>
      <w:r>
        <w:rPr>
          <w:lang w:val="de-DE"/>
        </w:rPr>
        <w:t>Eine</w:t>
      </w:r>
      <w:r w:rsidRPr="00563EAC">
        <w:rPr>
          <w:lang w:val="de-DE"/>
        </w:rPr>
        <w:t xml:space="preserve"> Übersicht über die Veränderungen der Finanzanlagen vom 1. Januar </w:t>
      </w:r>
      <w:r w:rsidR="009A28F9">
        <w:rPr>
          <w:lang w:val="de-DE"/>
        </w:rPr>
        <w:t>201</w:t>
      </w:r>
      <w:r w:rsidR="00171D95">
        <w:rPr>
          <w:lang w:val="de-DE"/>
        </w:rPr>
        <w:t>3</w:t>
      </w:r>
      <w:r w:rsidR="009A28F9" w:rsidRPr="00563EAC">
        <w:rPr>
          <w:lang w:val="de-DE"/>
        </w:rPr>
        <w:t xml:space="preserve"> </w:t>
      </w:r>
      <w:r w:rsidRPr="00563EAC">
        <w:rPr>
          <w:lang w:val="de-DE"/>
        </w:rPr>
        <w:t xml:space="preserve">bis zum 31. Dezember </w:t>
      </w:r>
      <w:r w:rsidR="009A28F9">
        <w:rPr>
          <w:lang w:val="de-DE"/>
        </w:rPr>
        <w:t>201</w:t>
      </w:r>
      <w:r w:rsidR="00171D95">
        <w:rPr>
          <w:lang w:val="de-DE"/>
        </w:rPr>
        <w:t>3</w:t>
      </w:r>
      <w:r w:rsidR="009A28F9" w:rsidRPr="00563EAC">
        <w:rPr>
          <w:lang w:val="de-DE"/>
        </w:rPr>
        <w:t xml:space="preserve"> </w:t>
      </w:r>
      <w:r w:rsidR="00380CF1">
        <w:rPr>
          <w:lang w:val="de-DE"/>
        </w:rPr>
        <w:t xml:space="preserve">und für den vergleichbaren Zeitraum vom 1. Januar 2012 bis zum 31. Dezember 2012 ist in der Tabelle auf Seiten </w:t>
      </w:r>
      <w:r w:rsidR="00DB33C6" w:rsidRPr="00DB33C6">
        <w:rPr>
          <w:lang w:val="de-DE"/>
        </w:rPr>
        <w:t>21</w:t>
      </w:r>
      <w:r w:rsidR="00027877" w:rsidRPr="00DB33C6">
        <w:rPr>
          <w:lang w:val="de-DE"/>
        </w:rPr>
        <w:t xml:space="preserve"> und 2</w:t>
      </w:r>
      <w:r w:rsidR="00DB33C6" w:rsidRPr="00DB33C6">
        <w:rPr>
          <w:lang w:val="de-DE"/>
        </w:rPr>
        <w:t>2</w:t>
      </w:r>
      <w:r w:rsidR="00380CF1">
        <w:rPr>
          <w:lang w:val="de-DE"/>
        </w:rPr>
        <w:t xml:space="preserve"> dargestellt.</w:t>
      </w:r>
    </w:p>
    <w:p w:rsidR="0066795C" w:rsidRDefault="00252994" w:rsidP="0066795C">
      <w:pPr>
        <w:pStyle w:val="BodyText"/>
        <w:rPr>
          <w:i/>
          <w:szCs w:val="18"/>
          <w:u w:val="single"/>
        </w:rPr>
      </w:pPr>
      <w:r>
        <w:rPr>
          <w:i/>
          <w:szCs w:val="18"/>
          <w:u w:val="single"/>
        </w:rPr>
        <w:t>(</w:t>
      </w:r>
      <w:r w:rsidR="0066795C">
        <w:rPr>
          <w:i/>
          <w:szCs w:val="18"/>
          <w:u w:val="single"/>
        </w:rPr>
        <w:t>Der Inhalt, die Anzahl der Zeilen und Spalten in den Tabellen dürfen nicht geändert werden. Diese Information ist zu löschen.</w:t>
      </w:r>
      <w:r>
        <w:rPr>
          <w:i/>
          <w:szCs w:val="18"/>
          <w:u w:val="single"/>
        </w:rPr>
        <w:t>)</w:t>
      </w:r>
    </w:p>
    <w:p w:rsidR="00402D73" w:rsidRDefault="00402D73" w:rsidP="00402D73">
      <w:pPr>
        <w:pStyle w:val="BodyText"/>
        <w:rPr>
          <w:lang w:val="de-DE"/>
        </w:rPr>
      </w:pPr>
    </w:p>
    <w:p w:rsidR="00402D73" w:rsidRPr="00347E0B" w:rsidRDefault="00402D73" w:rsidP="00402D73">
      <w:pPr>
        <w:pStyle w:val="BodyText"/>
        <w:rPr>
          <w:lang w:val="de-DE"/>
        </w:rPr>
      </w:pPr>
      <w:r w:rsidRPr="00347E0B">
        <w:rPr>
          <w:lang w:val="de-DE"/>
        </w:rPr>
        <w:t xml:space="preserve">Von den Zugängen </w:t>
      </w:r>
      <w:r>
        <w:rPr>
          <w:lang w:val="de-DE"/>
        </w:rPr>
        <w:t xml:space="preserve">bei den </w:t>
      </w:r>
      <w:r w:rsidRPr="00347E0B">
        <w:rPr>
          <w:lang w:val="de-DE"/>
        </w:rPr>
        <w:t xml:space="preserve">Finanzanlagen während des Geschäftsjahres entfallen </w:t>
      </w:r>
      <w:r w:rsidRPr="009D33FD">
        <w:rPr>
          <w:lang w:val="de-DE"/>
        </w:rPr>
        <w:t xml:space="preserve">EUR </w:t>
      </w:r>
      <w:r>
        <w:t>298 745</w:t>
      </w:r>
      <w:r w:rsidRPr="009D33FD">
        <w:rPr>
          <w:lang w:val="de-DE"/>
        </w:rPr>
        <w:t xml:space="preserve"> </w:t>
      </w:r>
      <w:r w:rsidRPr="00347E0B">
        <w:rPr>
          <w:lang w:val="de-DE"/>
        </w:rPr>
        <w:t>auf das Tochterunternehmen ABC Motoren SR, s.</w:t>
      </w:r>
      <w:r w:rsidR="00252994">
        <w:rPr>
          <w:lang w:val="de-DE"/>
        </w:rPr>
        <w:t xml:space="preserve"> </w:t>
      </w:r>
      <w:r w:rsidRPr="00347E0B">
        <w:rPr>
          <w:lang w:val="de-DE"/>
        </w:rPr>
        <w:t>r.</w:t>
      </w:r>
      <w:r w:rsidR="00252994">
        <w:rPr>
          <w:lang w:val="de-DE"/>
        </w:rPr>
        <w:t xml:space="preserve"> </w:t>
      </w:r>
      <w:r w:rsidRPr="00347E0B">
        <w:rPr>
          <w:lang w:val="de-DE"/>
        </w:rPr>
        <w:t xml:space="preserve">o., Martin. Die Gesellschaft ist Mehrheitsgesellschafterin dieses Tochterunternehmens und hat es durch </w:t>
      </w:r>
      <w:r w:rsidRPr="00D65EC4">
        <w:rPr>
          <w:lang w:val="de-DE"/>
        </w:rPr>
        <w:t>Sacheinlage</w:t>
      </w:r>
      <w:r w:rsidRPr="00941C98">
        <w:rPr>
          <w:lang w:val="de-DE"/>
        </w:rPr>
        <w:t>n</w:t>
      </w:r>
      <w:r w:rsidRPr="00347E0B">
        <w:rPr>
          <w:lang w:val="de-DE"/>
        </w:rPr>
        <w:t xml:space="preserve"> (Maschinen und maschinelle Anlagen) gegründet.</w:t>
      </w:r>
    </w:p>
    <w:p w:rsidR="00402D73" w:rsidRPr="00270DBD" w:rsidRDefault="00402D73" w:rsidP="00402D73">
      <w:pPr>
        <w:pStyle w:val="BodyText"/>
        <w:rPr>
          <w:szCs w:val="18"/>
          <w:lang w:val="de-DE"/>
        </w:rPr>
      </w:pPr>
    </w:p>
    <w:p w:rsidR="00B55A09" w:rsidRDefault="00B55A09" w:rsidP="00B55A09">
      <w:pPr>
        <w:pStyle w:val="BodyText"/>
        <w:rPr>
          <w:lang w:val="de-DE"/>
        </w:rPr>
      </w:pPr>
      <w:r>
        <w:rPr>
          <w:lang w:val="de-DE"/>
        </w:rPr>
        <w:t>In der folgenden Tabelle erfolgt ein</w:t>
      </w:r>
      <w:r w:rsidR="00477DC9">
        <w:rPr>
          <w:lang w:val="de-DE"/>
        </w:rPr>
        <w:t>e</w:t>
      </w:r>
      <w:r>
        <w:rPr>
          <w:lang w:val="de-DE"/>
        </w:rPr>
        <w:t xml:space="preserve"> </w:t>
      </w:r>
      <w:r w:rsidR="00402D73" w:rsidRPr="00563EAC">
        <w:rPr>
          <w:lang w:val="de-DE"/>
        </w:rPr>
        <w:t xml:space="preserve">Übersicht über </w:t>
      </w:r>
      <w:r>
        <w:rPr>
          <w:lang w:val="de-DE"/>
        </w:rPr>
        <w:t>d</w:t>
      </w:r>
      <w:r w:rsidR="00402D73">
        <w:rPr>
          <w:lang w:val="de-DE"/>
        </w:rPr>
        <w:t>i</w:t>
      </w:r>
      <w:r>
        <w:rPr>
          <w:lang w:val="de-DE"/>
        </w:rPr>
        <w:t xml:space="preserve">e Höhe des Eigenkapitals zum 31. Dezember </w:t>
      </w:r>
      <w:r w:rsidR="009A28F9">
        <w:rPr>
          <w:lang w:val="de-DE"/>
        </w:rPr>
        <w:t>201</w:t>
      </w:r>
      <w:r w:rsidR="00171D95">
        <w:rPr>
          <w:lang w:val="de-DE"/>
        </w:rPr>
        <w:t>3</w:t>
      </w:r>
      <w:r w:rsidR="009A28F9">
        <w:rPr>
          <w:lang w:val="de-DE"/>
        </w:rPr>
        <w:t xml:space="preserve"> </w:t>
      </w:r>
      <w:r>
        <w:rPr>
          <w:lang w:val="de-DE"/>
        </w:rPr>
        <w:t>und d</w:t>
      </w:r>
      <w:r w:rsidR="00402D73">
        <w:rPr>
          <w:lang w:val="de-DE"/>
        </w:rPr>
        <w:t>i</w:t>
      </w:r>
      <w:r>
        <w:rPr>
          <w:lang w:val="de-DE"/>
        </w:rPr>
        <w:t xml:space="preserve">e Höhe des Geschäftsergebnisses </w:t>
      </w:r>
      <w:r w:rsidR="00E10318">
        <w:rPr>
          <w:lang w:val="de-DE"/>
        </w:rPr>
        <w:t>de</w:t>
      </w:r>
      <w:r w:rsidR="00E83440">
        <w:rPr>
          <w:lang w:val="de-DE"/>
        </w:rPr>
        <w:t>r</w:t>
      </w:r>
      <w:r w:rsidR="00E10318">
        <w:rPr>
          <w:lang w:val="de-DE"/>
        </w:rPr>
        <w:t xml:space="preserve"> Unternehmen </w:t>
      </w:r>
      <w:r>
        <w:rPr>
          <w:lang w:val="de-DE"/>
        </w:rPr>
        <w:t xml:space="preserve">für das Geschäftsjahr </w:t>
      </w:r>
      <w:r w:rsidR="009A28F9">
        <w:rPr>
          <w:lang w:val="de-DE"/>
        </w:rPr>
        <w:t>201</w:t>
      </w:r>
      <w:r w:rsidR="00171D95">
        <w:rPr>
          <w:lang w:val="de-DE"/>
        </w:rPr>
        <w:t>3</w:t>
      </w:r>
      <w:r>
        <w:rPr>
          <w:lang w:val="de-DE"/>
        </w:rPr>
        <w:t>:</w:t>
      </w:r>
    </w:p>
    <w:p w:rsidR="0066795C" w:rsidRDefault="00252994" w:rsidP="0066795C">
      <w:pPr>
        <w:pStyle w:val="BodyText"/>
        <w:rPr>
          <w:i/>
          <w:szCs w:val="18"/>
          <w:u w:val="single"/>
        </w:rPr>
      </w:pPr>
      <w:r>
        <w:rPr>
          <w:i/>
          <w:szCs w:val="18"/>
          <w:u w:val="single"/>
        </w:rPr>
        <w:t>(</w:t>
      </w:r>
      <w:r w:rsidR="0066795C">
        <w:rPr>
          <w:i/>
          <w:szCs w:val="18"/>
          <w:u w:val="single"/>
        </w:rPr>
        <w:t>Der Inhalt, und die Anzahl der Zeilen in der Tabelle werden nach den Bedürfnissen der Buchführungseinheit angeführt.  Die Spalten dürfen nicht geändert werden. Diese Information ist zu löschen.</w:t>
      </w:r>
      <w:r>
        <w:rPr>
          <w:i/>
          <w:szCs w:val="18"/>
          <w:u w:val="single"/>
        </w:rPr>
        <w:t>)</w:t>
      </w:r>
    </w:p>
    <w:p w:rsidR="0066795C" w:rsidRPr="00E84880" w:rsidRDefault="0066795C" w:rsidP="00B55A09">
      <w:pPr>
        <w:pStyle w:val="BodyText"/>
        <w:rPr>
          <w:lang w:val="de-DE"/>
        </w:rPr>
      </w:pPr>
    </w:p>
    <w:p w:rsidR="00B55A09" w:rsidRDefault="00B55A09" w:rsidP="00B55A09">
      <w:pPr>
        <w:pStyle w:val="BodyText"/>
        <w:rPr>
          <w:highlight w:val="yellow"/>
          <w:lang w:val="de-DE"/>
        </w:rPr>
      </w:pPr>
    </w:p>
    <w:p w:rsidR="00CD7E7C" w:rsidRDefault="00CD7E7C" w:rsidP="00B55A09">
      <w:pPr>
        <w:pStyle w:val="BodyText"/>
        <w:rPr>
          <w:highlight w:val="yellow"/>
          <w:lang w:val="de-DE"/>
        </w:rPr>
      </w:pPr>
    </w:p>
    <w:bookmarkStart w:id="22" w:name="_MON_1410945654"/>
    <w:bookmarkEnd w:id="22"/>
    <w:p w:rsidR="002F0FA2" w:rsidRDefault="008B070C" w:rsidP="00C76D6A">
      <w:pPr>
        <w:pStyle w:val="BodyText"/>
      </w:pPr>
      <w:r>
        <w:object w:dxaOrig="9150" w:dyaOrig="9583">
          <v:shape id="_x0000_i1031" type="#_x0000_t75" style="width:435.75pt;height:509.25pt" o:ole="" o:preferrelative="f">
            <v:imagedata r:id="rId33" o:title=""/>
            <o:lock v:ext="edit" aspectratio="f"/>
          </v:shape>
          <o:OLEObject Type="Embed" ProgID="Excel.Sheet.12" ShapeID="_x0000_i1031" DrawAspect="Content" ObjectID="_1448991387" r:id="rId34"/>
        </w:object>
      </w:r>
    </w:p>
    <w:p w:rsidR="00365CE5" w:rsidRDefault="00365CE5" w:rsidP="00365CE5">
      <w:pPr>
        <w:pStyle w:val="BodyText"/>
        <w:rPr>
          <w:lang w:val="de-DE"/>
        </w:rPr>
      </w:pPr>
    </w:p>
    <w:p w:rsidR="00365CE5" w:rsidRDefault="00365CE5" w:rsidP="00365CE5">
      <w:pPr>
        <w:pStyle w:val="BodyText"/>
        <w:rPr>
          <w:lang w:val="de-DE"/>
        </w:rPr>
      </w:pPr>
      <w:r w:rsidRPr="00347E0B">
        <w:rPr>
          <w:lang w:val="de-DE"/>
        </w:rPr>
        <w:t xml:space="preserve">Auf die Anteile </w:t>
      </w:r>
      <w:r>
        <w:rPr>
          <w:lang w:val="de-DE"/>
        </w:rPr>
        <w:t>an dem</w:t>
      </w:r>
      <w:r w:rsidRPr="00347E0B">
        <w:rPr>
          <w:lang w:val="de-DE"/>
        </w:rPr>
        <w:t xml:space="preserve"> Tochterunternehmen ABC Motoren SR, s.</w:t>
      </w:r>
      <w:r w:rsidR="00252994">
        <w:rPr>
          <w:lang w:val="de-DE"/>
        </w:rPr>
        <w:t xml:space="preserve"> </w:t>
      </w:r>
      <w:r w:rsidRPr="00347E0B">
        <w:rPr>
          <w:lang w:val="de-DE"/>
        </w:rPr>
        <w:t>r.</w:t>
      </w:r>
      <w:r w:rsidR="00252994">
        <w:rPr>
          <w:lang w:val="de-DE"/>
        </w:rPr>
        <w:t xml:space="preserve"> </w:t>
      </w:r>
      <w:r w:rsidRPr="00347E0B">
        <w:rPr>
          <w:lang w:val="de-DE"/>
        </w:rPr>
        <w:t>o.,</w:t>
      </w:r>
      <w:r>
        <w:rPr>
          <w:lang w:val="de-DE"/>
        </w:rPr>
        <w:t xml:space="preserve"> Martin</w:t>
      </w:r>
      <w:r w:rsidRPr="00347E0B">
        <w:rPr>
          <w:lang w:val="de-DE"/>
        </w:rPr>
        <w:t xml:space="preserve"> wurde </w:t>
      </w:r>
      <w:r>
        <w:rPr>
          <w:lang w:val="de-DE"/>
        </w:rPr>
        <w:t>ein</w:t>
      </w:r>
      <w:r w:rsidRPr="00347E0B">
        <w:rPr>
          <w:lang w:val="de-DE"/>
        </w:rPr>
        <w:t xml:space="preserve"> Pfandrecht zugunsten der Bank eingeräumt</w:t>
      </w:r>
      <w:r>
        <w:rPr>
          <w:lang w:val="de-DE"/>
        </w:rPr>
        <w:t>:</w:t>
      </w:r>
      <w:r w:rsidRPr="00347E0B">
        <w:rPr>
          <w:lang w:val="de-DE"/>
        </w:rPr>
        <w:t xml:space="preserve"> </w:t>
      </w:r>
    </w:p>
    <w:p w:rsidR="00365CE5" w:rsidRDefault="00252994" w:rsidP="00365CE5">
      <w:pPr>
        <w:pStyle w:val="BodyText"/>
        <w:rPr>
          <w:i/>
          <w:szCs w:val="18"/>
          <w:u w:val="single"/>
        </w:rPr>
      </w:pPr>
      <w:r>
        <w:rPr>
          <w:i/>
          <w:szCs w:val="18"/>
          <w:u w:val="single"/>
        </w:rPr>
        <w:t>(</w:t>
      </w:r>
      <w:r w:rsidR="00365CE5">
        <w:rPr>
          <w:i/>
          <w:szCs w:val="18"/>
          <w:u w:val="single"/>
        </w:rPr>
        <w:t>Der Inhalt, die Anzahl der Zeilen und Spalten in der Tabelle dürfen nicht geändert werden. Diese Information ist zu löschen.</w:t>
      </w:r>
      <w:r>
        <w:rPr>
          <w:i/>
          <w:szCs w:val="18"/>
          <w:u w:val="single"/>
        </w:rPr>
        <w:t>)</w:t>
      </w:r>
    </w:p>
    <w:p w:rsidR="00365CE5" w:rsidRDefault="00365CE5" w:rsidP="00365CE5">
      <w:pPr>
        <w:pStyle w:val="BodyText"/>
        <w:rPr>
          <w:lang w:val="de-DE"/>
        </w:rPr>
      </w:pPr>
    </w:p>
    <w:p w:rsidR="00365CE5" w:rsidRDefault="00365CE5" w:rsidP="00365CE5">
      <w:pPr>
        <w:pStyle w:val="BodyText"/>
        <w:rPr>
          <w:lang w:val="de-DE"/>
        </w:rPr>
      </w:pPr>
    </w:p>
    <w:bookmarkStart w:id="23" w:name="_MON_1411989350"/>
    <w:bookmarkEnd w:id="23"/>
    <w:p w:rsidR="00682F91" w:rsidRDefault="00D353D4">
      <w:pPr>
        <w:pStyle w:val="BodyText"/>
      </w:pPr>
      <w:r w:rsidRPr="0078754C">
        <w:object w:dxaOrig="9308" w:dyaOrig="942">
          <v:shape id="_x0000_i1032" type="#_x0000_t75" style="width:435.75pt;height:48.75pt" o:ole="" o:preferrelative="f">
            <v:imagedata r:id="rId35" o:title=""/>
            <o:lock v:ext="edit" aspectratio="f"/>
          </v:shape>
          <o:OLEObject Type="Embed" ProgID="Excel.Sheet.12" ShapeID="_x0000_i1032" DrawAspect="Content" ObjectID="_1448991388" r:id="rId36"/>
        </w:object>
      </w:r>
    </w:p>
    <w:p w:rsidR="00D353D4" w:rsidRDefault="00D353D4">
      <w:pPr>
        <w:pStyle w:val="BodyText"/>
        <w:rPr>
          <w:i/>
          <w:szCs w:val="18"/>
        </w:rPr>
      </w:pPr>
    </w:p>
    <w:p w:rsidR="002F0408" w:rsidRDefault="002F0408">
      <w:pPr>
        <w:pStyle w:val="BodyText"/>
        <w:rPr>
          <w:i/>
          <w:szCs w:val="18"/>
        </w:rPr>
      </w:pPr>
    </w:p>
    <w:p w:rsidR="002F0408" w:rsidRDefault="00682F91">
      <w:pPr>
        <w:pStyle w:val="BodyText"/>
      </w:pPr>
      <w:r w:rsidRPr="008C782B">
        <w:rPr>
          <w:i/>
          <w:szCs w:val="18"/>
        </w:rPr>
        <w:lastRenderedPageBreak/>
        <w:t xml:space="preserve">Wenn die Buchführungseinheit einen Inhalt für sie hat, hat sie in dieser die erforderlichen Informationen anzugeben. </w:t>
      </w:r>
      <w:r>
        <w:rPr>
          <w:i/>
          <w:szCs w:val="18"/>
        </w:rPr>
        <w:t>Andernfalls</w:t>
      </w:r>
      <w:r w:rsidRPr="008C782B">
        <w:rPr>
          <w:i/>
          <w:szCs w:val="18"/>
        </w:rPr>
        <w:t xml:space="preserve"> ist sie inklusive dieser Information zu löschen</w:t>
      </w:r>
      <w:r>
        <w:t>.</w:t>
      </w:r>
    </w:p>
    <w:p w:rsidR="002F0408" w:rsidRDefault="002F0408">
      <w:pPr>
        <w:pStyle w:val="BodyText"/>
      </w:pPr>
    </w:p>
    <w:p w:rsidR="00682F91" w:rsidRDefault="00682F91" w:rsidP="002862FC">
      <w:pPr>
        <w:pStyle w:val="BodyText"/>
        <w:rPr>
          <w:lang w:val="de-DE"/>
        </w:rPr>
      </w:pPr>
      <w:bookmarkStart w:id="24" w:name="_Toc530739903"/>
      <w:r w:rsidRPr="002F0408">
        <w:rPr>
          <w:szCs w:val="18"/>
        </w:rPr>
        <w:t xml:space="preserve">Wert </w:t>
      </w:r>
      <w:r w:rsidR="005506D2" w:rsidRPr="002F0408">
        <w:rPr>
          <w:szCs w:val="18"/>
        </w:rPr>
        <w:t xml:space="preserve">der </w:t>
      </w:r>
      <w:r w:rsidRPr="002F0408">
        <w:rPr>
          <w:szCs w:val="18"/>
        </w:rPr>
        <w:t xml:space="preserve">Finanzanlagen, </w:t>
      </w:r>
      <w:r w:rsidRPr="002F0408">
        <w:rPr>
          <w:szCs w:val="18"/>
          <w:lang w:val="de-DE"/>
        </w:rPr>
        <w:t>bei welchen die Buchführungseinheit beschr</w:t>
      </w:r>
      <w:r w:rsidRPr="002F0408">
        <w:rPr>
          <w:szCs w:val="18"/>
        </w:rPr>
        <w:t>ä</w:t>
      </w:r>
      <w:r w:rsidR="00027877" w:rsidRPr="002F0408">
        <w:rPr>
          <w:szCs w:val="18"/>
          <w:lang w:val="de-DE"/>
        </w:rPr>
        <w:t>nkte Verf</w:t>
      </w:r>
      <w:r w:rsidRPr="002F0408">
        <w:rPr>
          <w:szCs w:val="18"/>
          <w:lang w:val="de-DE"/>
        </w:rPr>
        <w:t xml:space="preserve">ügungsrechte hat, beträgt EUR xxx und </w:t>
      </w:r>
      <w:r w:rsidR="0025303E" w:rsidRPr="002F0408">
        <w:rPr>
          <w:szCs w:val="18"/>
          <w:lang w:val="de-DE"/>
        </w:rPr>
        <w:t>es handelt sich um</w:t>
      </w:r>
      <w:r w:rsidRPr="002F0408">
        <w:rPr>
          <w:szCs w:val="18"/>
          <w:lang w:val="de-DE"/>
        </w:rPr>
        <w:t xml:space="preserve"> folgende Finanzanlagen</w:t>
      </w:r>
      <w:r w:rsidR="0025303E" w:rsidRPr="002F0408">
        <w:rPr>
          <w:szCs w:val="18"/>
          <w:lang w:val="de-DE"/>
        </w:rPr>
        <w:t xml:space="preserve">: </w:t>
      </w:r>
    </w:p>
    <w:p w:rsidR="00682F91" w:rsidRDefault="00682F91" w:rsidP="002862FC">
      <w:pPr>
        <w:pStyle w:val="BodyText"/>
        <w:rPr>
          <w:lang w:val="de-DE"/>
        </w:rPr>
      </w:pPr>
    </w:p>
    <w:p w:rsidR="000D3471" w:rsidRDefault="000D3471" w:rsidP="002862FC">
      <w:pPr>
        <w:pStyle w:val="BodyText"/>
        <w:rPr>
          <w:lang w:val="de-DE"/>
        </w:rPr>
      </w:pPr>
    </w:p>
    <w:p w:rsidR="00D353D4" w:rsidRDefault="00D353D4" w:rsidP="002862FC">
      <w:pPr>
        <w:pStyle w:val="BodyText"/>
        <w:rPr>
          <w:lang w:val="de-DE"/>
        </w:rPr>
      </w:pPr>
    </w:p>
    <w:p w:rsidR="000D3471" w:rsidRDefault="000D3471" w:rsidP="002862FC">
      <w:pPr>
        <w:pStyle w:val="BodyText"/>
        <w:rPr>
          <w:lang w:val="de-DE"/>
        </w:rPr>
      </w:pPr>
    </w:p>
    <w:p w:rsidR="002862FC" w:rsidRDefault="00687C63" w:rsidP="002862FC">
      <w:pPr>
        <w:pStyle w:val="BodyText"/>
        <w:rPr>
          <w:lang w:val="de-DE"/>
        </w:rPr>
      </w:pPr>
      <w:r w:rsidRPr="00687C63">
        <w:rPr>
          <w:lang w:val="de-DE"/>
        </w:rPr>
        <w:t xml:space="preserve">Die Höhe des Eigenkapitals zum 31. Dezember </w:t>
      </w:r>
      <w:r w:rsidR="004F3238" w:rsidRPr="00687C63">
        <w:rPr>
          <w:lang w:val="de-DE"/>
        </w:rPr>
        <w:t>201</w:t>
      </w:r>
      <w:r w:rsidR="00171D95">
        <w:rPr>
          <w:lang w:val="de-DE"/>
        </w:rPr>
        <w:t>2</w:t>
      </w:r>
      <w:r w:rsidR="004F3238" w:rsidRPr="00687C63">
        <w:rPr>
          <w:lang w:val="de-DE"/>
        </w:rPr>
        <w:t xml:space="preserve"> </w:t>
      </w:r>
      <w:r w:rsidRPr="00687C63">
        <w:rPr>
          <w:lang w:val="de-DE"/>
        </w:rPr>
        <w:t xml:space="preserve">und des Ergebnisses der Geschäftstätigkeit der Unternehmen für die Buchungsperiode </w:t>
      </w:r>
      <w:r w:rsidR="00171D95" w:rsidRPr="00687C63">
        <w:rPr>
          <w:lang w:val="de-DE"/>
        </w:rPr>
        <w:t>201</w:t>
      </w:r>
      <w:r w:rsidR="00171D95">
        <w:rPr>
          <w:lang w:val="de-DE"/>
        </w:rPr>
        <w:t>2</w:t>
      </w:r>
      <w:r w:rsidR="00171D95" w:rsidRPr="00687C63">
        <w:rPr>
          <w:lang w:val="de-DE"/>
        </w:rPr>
        <w:t xml:space="preserve"> </w:t>
      </w:r>
      <w:r w:rsidRPr="00687C63">
        <w:rPr>
          <w:lang w:val="de-DE"/>
        </w:rPr>
        <w:t xml:space="preserve">wird in folgender Übersicht aufgeführt: </w:t>
      </w:r>
    </w:p>
    <w:p w:rsidR="0066795C" w:rsidRDefault="00252994" w:rsidP="0066795C">
      <w:pPr>
        <w:pStyle w:val="BodyText"/>
        <w:rPr>
          <w:i/>
          <w:szCs w:val="18"/>
          <w:u w:val="single"/>
        </w:rPr>
      </w:pPr>
      <w:r>
        <w:rPr>
          <w:i/>
          <w:szCs w:val="18"/>
          <w:u w:val="single"/>
        </w:rPr>
        <w:t>(</w:t>
      </w:r>
      <w:r w:rsidR="0066795C">
        <w:rPr>
          <w:i/>
          <w:szCs w:val="18"/>
          <w:u w:val="single"/>
        </w:rPr>
        <w:t>Der Inhalt, und die Anzahl der Zeilen in der Tabelle werden nach den Bedürfnissen der Buchführungseinheit angeführt.  Die Spalten dürfen nicht geändert werden. Diese Information ist zu löschen.</w:t>
      </w:r>
      <w:r>
        <w:rPr>
          <w:i/>
          <w:szCs w:val="18"/>
          <w:u w:val="single"/>
        </w:rPr>
        <w:t>)</w:t>
      </w:r>
    </w:p>
    <w:p w:rsidR="00DF1480" w:rsidRDefault="00DF1480" w:rsidP="0066795C">
      <w:pPr>
        <w:pStyle w:val="BodyText"/>
        <w:rPr>
          <w:i/>
          <w:szCs w:val="18"/>
          <w:u w:val="single"/>
        </w:rPr>
      </w:pPr>
    </w:p>
    <w:p w:rsidR="0066795C" w:rsidRPr="0066795C" w:rsidRDefault="0066795C" w:rsidP="002862FC">
      <w:pPr>
        <w:pStyle w:val="BodyText"/>
      </w:pPr>
    </w:p>
    <w:bookmarkStart w:id="25" w:name="_MON_1411456784"/>
    <w:bookmarkEnd w:id="25"/>
    <w:p w:rsidR="002862FC" w:rsidRDefault="008B070C" w:rsidP="002862FC">
      <w:pPr>
        <w:pStyle w:val="BodyText"/>
      </w:pPr>
      <w:r w:rsidRPr="0078754C">
        <w:object w:dxaOrig="8892" w:dyaOrig="8701">
          <v:shape id="_x0000_i1033" type="#_x0000_t75" style="width:438pt;height:479.25pt" o:ole="" o:preferrelative="f">
            <v:imagedata r:id="rId37" o:title=""/>
            <o:lock v:ext="edit" aspectratio="f"/>
          </v:shape>
          <o:OLEObject Type="Embed" ProgID="Excel.Sheet.12" ShapeID="_x0000_i1033" DrawAspect="Content" ObjectID="_1448991389" r:id="rId38"/>
        </w:object>
      </w:r>
    </w:p>
    <w:p w:rsidR="00C76D6A" w:rsidRDefault="00C76D6A" w:rsidP="00C76D6A">
      <w:pPr>
        <w:pStyle w:val="BodyText"/>
        <w:rPr>
          <w:lang w:val="de-DE"/>
        </w:rPr>
      </w:pPr>
    </w:p>
    <w:bookmarkEnd w:id="24"/>
    <w:p w:rsidR="00C76D6A" w:rsidRDefault="00C76D6A" w:rsidP="00C76D6A">
      <w:pPr>
        <w:pStyle w:val="Heading2"/>
        <w:numPr>
          <w:ilvl w:val="0"/>
          <w:numId w:val="0"/>
        </w:numPr>
        <w:rPr>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Pr="00270DBD" w:rsidRDefault="00C76D6A" w:rsidP="00C76D6A">
      <w:pPr>
        <w:rPr>
          <w:sz w:val="18"/>
          <w:szCs w:val="18"/>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C76D6A" w:rsidRDefault="00C76D6A" w:rsidP="00C76D6A">
      <w:pPr>
        <w:rPr>
          <w:lang w:val="de-DE"/>
        </w:rPr>
      </w:pPr>
    </w:p>
    <w:p w:rsidR="002862FC" w:rsidRDefault="00C76D6A">
      <w:pPr>
        <w:spacing w:after="200" w:line="276" w:lineRule="auto"/>
        <w:rPr>
          <w:lang w:val="de-DE"/>
        </w:rPr>
      </w:pPr>
      <w:r>
        <w:rPr>
          <w:lang w:val="de-DE"/>
        </w:rPr>
        <w:br w:type="page"/>
      </w:r>
      <w:r>
        <w:rPr>
          <w:lang w:val="de-DE"/>
        </w:rPr>
        <w:lastRenderedPageBreak/>
        <w:br w:type="page"/>
      </w:r>
      <w:r w:rsidR="002862FC">
        <w:rPr>
          <w:lang w:val="de-DE"/>
        </w:rPr>
        <w:lastRenderedPageBreak/>
        <w:br w:type="page"/>
      </w:r>
    </w:p>
    <w:p w:rsidR="002862FC" w:rsidRDefault="002862FC">
      <w:pPr>
        <w:spacing w:after="200" w:line="276" w:lineRule="auto"/>
        <w:rPr>
          <w:lang w:val="de-DE"/>
        </w:rPr>
      </w:pPr>
      <w:r>
        <w:rPr>
          <w:lang w:val="de-DE"/>
        </w:rPr>
        <w:lastRenderedPageBreak/>
        <w:br w:type="page"/>
      </w:r>
    </w:p>
    <w:p w:rsidR="00365CE5" w:rsidRDefault="002862FC">
      <w:pPr>
        <w:spacing w:after="200" w:line="276" w:lineRule="auto"/>
        <w:rPr>
          <w:lang w:val="de-DE"/>
        </w:rPr>
      </w:pPr>
      <w:r>
        <w:rPr>
          <w:lang w:val="de-DE"/>
        </w:rPr>
        <w:lastRenderedPageBreak/>
        <w:br w:type="page"/>
      </w:r>
      <w:r w:rsidR="00365CE5">
        <w:rPr>
          <w:lang w:val="de-DE"/>
        </w:rPr>
        <w:lastRenderedPageBreak/>
        <w:br w:type="page"/>
      </w:r>
    </w:p>
    <w:p w:rsidR="005E4F8C" w:rsidRPr="00CA1B1A" w:rsidRDefault="008C782B" w:rsidP="00365CE5">
      <w:pPr>
        <w:spacing w:after="200" w:line="276" w:lineRule="auto"/>
        <w:ind w:left="426"/>
        <w:jc w:val="both"/>
        <w:rPr>
          <w:i/>
          <w:sz w:val="18"/>
          <w:szCs w:val="18"/>
        </w:rPr>
      </w:pPr>
      <w:r w:rsidRPr="008C782B">
        <w:rPr>
          <w:i/>
          <w:sz w:val="18"/>
          <w:szCs w:val="18"/>
        </w:rPr>
        <w:lastRenderedPageBreak/>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5E4F8C" w:rsidRDefault="00C17A50" w:rsidP="005E4F8C">
      <w:pPr>
        <w:pStyle w:val="BodyText"/>
      </w:pPr>
      <w:r>
        <w:t>Informationen über die bis zur Fälligkeit gehaltenen Schuldverschreibungen werden in der nachfolgenden Tabelle</w:t>
      </w:r>
      <w:r w:rsidR="00E62FDA">
        <w:t xml:space="preserve"> aufgeführt :</w:t>
      </w:r>
    </w:p>
    <w:p w:rsidR="005E4F8C" w:rsidRDefault="00252994" w:rsidP="005E4F8C">
      <w:pPr>
        <w:pStyle w:val="BodyText"/>
        <w:rPr>
          <w:i/>
          <w:szCs w:val="18"/>
          <w:u w:val="single"/>
        </w:rPr>
      </w:pPr>
      <w:r>
        <w:rPr>
          <w:i/>
          <w:szCs w:val="18"/>
          <w:u w:val="single"/>
        </w:rPr>
        <w:t>(</w:t>
      </w:r>
      <w:r w:rsidR="005E4F8C">
        <w:rPr>
          <w:i/>
          <w:szCs w:val="18"/>
          <w:u w:val="single"/>
        </w:rPr>
        <w:t xml:space="preserve">Der Inhalt, die Anzahl der Zeilen und Spalten </w:t>
      </w:r>
      <w:r w:rsidR="00E62FDA">
        <w:rPr>
          <w:i/>
          <w:szCs w:val="18"/>
          <w:u w:val="single"/>
        </w:rPr>
        <w:t xml:space="preserve">in der Tabelle </w:t>
      </w:r>
      <w:r w:rsidR="005E4F8C">
        <w:rPr>
          <w:i/>
          <w:szCs w:val="18"/>
          <w:u w:val="single"/>
        </w:rPr>
        <w:t>dürfen nicht geändert werden. Diese Information ist zu löschen.</w:t>
      </w:r>
      <w:r>
        <w:rPr>
          <w:i/>
          <w:szCs w:val="18"/>
          <w:u w:val="single"/>
        </w:rPr>
        <w:t>)</w:t>
      </w:r>
    </w:p>
    <w:p w:rsidR="005E4F8C" w:rsidRDefault="005E4F8C" w:rsidP="005E4F8C">
      <w:pPr>
        <w:pStyle w:val="BodyText"/>
      </w:pPr>
    </w:p>
    <w:bookmarkStart w:id="26" w:name="_MON_1405926418"/>
    <w:bookmarkEnd w:id="26"/>
    <w:p w:rsidR="005E4F8C" w:rsidRDefault="00B07DFB" w:rsidP="005E4F8C">
      <w:pPr>
        <w:pStyle w:val="BodyText"/>
      </w:pPr>
      <w:r w:rsidRPr="0078754C">
        <w:object w:dxaOrig="9131" w:dyaOrig="4371">
          <v:shape id="_x0000_i1034" type="#_x0000_t75" style="width:450pt;height:240.75pt" o:ole="" o:preferrelative="f">
            <v:imagedata r:id="rId39" o:title=""/>
            <o:lock v:ext="edit" aspectratio="f"/>
          </v:shape>
          <o:OLEObject Type="Embed" ProgID="Excel.Sheet.12" ShapeID="_x0000_i1034" DrawAspect="Content" ObjectID="_1448991390" r:id="rId40"/>
        </w:object>
      </w:r>
    </w:p>
    <w:p w:rsidR="00B823AB" w:rsidRDefault="00B823AB">
      <w:pPr>
        <w:spacing w:after="200" w:line="276" w:lineRule="auto"/>
        <w:rPr>
          <w:i/>
          <w:sz w:val="18"/>
          <w:szCs w:val="18"/>
          <w:highlight w:val="green"/>
        </w:rPr>
      </w:pPr>
      <w:r>
        <w:rPr>
          <w:i/>
          <w:sz w:val="18"/>
          <w:szCs w:val="18"/>
          <w:highlight w:val="green"/>
        </w:rPr>
        <w:br w:type="page"/>
      </w:r>
    </w:p>
    <w:p w:rsidR="00E62FDA" w:rsidRPr="00CA1B1A" w:rsidRDefault="008C782B" w:rsidP="00365CE5">
      <w:pPr>
        <w:spacing w:after="200" w:line="276" w:lineRule="auto"/>
        <w:ind w:left="426"/>
        <w:jc w:val="both"/>
        <w:rPr>
          <w:i/>
          <w:sz w:val="18"/>
          <w:szCs w:val="18"/>
        </w:rPr>
      </w:pPr>
      <w:r w:rsidRPr="008C782B">
        <w:rPr>
          <w:i/>
          <w:sz w:val="18"/>
          <w:szCs w:val="18"/>
        </w:rPr>
        <w:lastRenderedPageBreak/>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E62FDA" w:rsidRPr="00CA1B1A" w:rsidRDefault="00C17A50" w:rsidP="00E62FDA">
      <w:pPr>
        <w:pStyle w:val="BodyText"/>
      </w:pPr>
      <w:r>
        <w:t>Informationen über die gewährten langfristigen Darlehen werden in der nachfolgenden Tabelle aufgeführt :</w:t>
      </w:r>
    </w:p>
    <w:p w:rsidR="00E62FDA" w:rsidRDefault="00252994" w:rsidP="00E62FDA">
      <w:pPr>
        <w:pStyle w:val="BodyText"/>
        <w:rPr>
          <w:i/>
          <w:szCs w:val="18"/>
          <w:u w:val="single"/>
        </w:rPr>
      </w:pPr>
      <w:r>
        <w:rPr>
          <w:i/>
          <w:szCs w:val="18"/>
          <w:u w:val="single"/>
        </w:rPr>
        <w:t>(</w:t>
      </w:r>
      <w:r w:rsidR="00C17A50">
        <w:rPr>
          <w:i/>
          <w:szCs w:val="18"/>
          <w:u w:val="single"/>
        </w:rPr>
        <w:t>Der Inhalt, die Anzahl der Zeilen und Spalten in der Tabelle dürfen nicht geändert werden. Diese Information ist zu löschen.</w:t>
      </w:r>
      <w:r>
        <w:rPr>
          <w:i/>
          <w:szCs w:val="18"/>
          <w:u w:val="single"/>
        </w:rPr>
        <w:t>)</w:t>
      </w:r>
    </w:p>
    <w:p w:rsidR="005E4F8C" w:rsidRDefault="005E4F8C" w:rsidP="005E4F8C">
      <w:pPr>
        <w:pStyle w:val="BodyText"/>
      </w:pPr>
    </w:p>
    <w:bookmarkStart w:id="27" w:name="_MON_1405927283"/>
    <w:bookmarkEnd w:id="27"/>
    <w:p w:rsidR="002862FC" w:rsidRDefault="00065A1C" w:rsidP="00B823AB">
      <w:pPr>
        <w:tabs>
          <w:tab w:val="left" w:pos="6521"/>
        </w:tabs>
        <w:spacing w:after="200" w:line="276" w:lineRule="auto"/>
        <w:ind w:left="426"/>
        <w:rPr>
          <w:lang w:val="de-DE"/>
        </w:rPr>
      </w:pPr>
      <w:r w:rsidRPr="0078754C">
        <w:object w:dxaOrig="8870" w:dyaOrig="4136">
          <v:shape id="_x0000_i1035" type="#_x0000_t75" style="width:435.75pt;height:228pt" o:ole="" o:preferrelative="f">
            <v:imagedata r:id="rId41" o:title=""/>
            <o:lock v:ext="edit" aspectratio="f"/>
          </v:shape>
          <o:OLEObject Type="Embed" ProgID="Excel.Sheet.12" ShapeID="_x0000_i1035" DrawAspect="Content" ObjectID="_1448991391" r:id="rId42"/>
        </w:object>
      </w:r>
      <w:r w:rsidR="002862FC">
        <w:rPr>
          <w:lang w:val="de-DE"/>
        </w:rPr>
        <w:br w:type="page"/>
      </w:r>
    </w:p>
    <w:p w:rsidR="00C76D6A" w:rsidRPr="00AE148D" w:rsidRDefault="00C76D6A" w:rsidP="00C76D6A">
      <w:pPr>
        <w:pStyle w:val="Heading2"/>
        <w:rPr>
          <w:lang w:val="de-DE"/>
        </w:rPr>
      </w:pPr>
      <w:r w:rsidRPr="00AE148D">
        <w:rPr>
          <w:lang w:val="de-DE"/>
        </w:rPr>
        <w:lastRenderedPageBreak/>
        <w:t>Vorräte</w:t>
      </w:r>
      <w:r w:rsidR="005E4F8C">
        <w:rPr>
          <w:lang w:val="de-DE"/>
        </w:rPr>
        <w:t xml:space="preserve"> </w:t>
      </w:r>
    </w:p>
    <w:p w:rsidR="00C76D6A" w:rsidRPr="00270DBD" w:rsidRDefault="00C76D6A" w:rsidP="00C76D6A">
      <w:pPr>
        <w:pStyle w:val="BodyText"/>
        <w:rPr>
          <w:szCs w:val="18"/>
          <w:lang w:val="de-DE"/>
        </w:rPr>
      </w:pPr>
    </w:p>
    <w:p w:rsidR="00C76D6A" w:rsidRDefault="00C76D6A" w:rsidP="00C76D6A">
      <w:pPr>
        <w:pStyle w:val="BodyText"/>
        <w:rPr>
          <w:lang w:val="de-DE"/>
        </w:rPr>
      </w:pPr>
      <w:r w:rsidRPr="00AE148D">
        <w:rPr>
          <w:lang w:val="de-DE"/>
        </w:rPr>
        <w:t xml:space="preserve">Die Entwicklung der Wertberichtigung während des Geschäftsjahres wird in folgender Tabelle </w:t>
      </w:r>
      <w:r>
        <w:rPr>
          <w:lang w:val="de-DE"/>
        </w:rPr>
        <w:t>dargestellt</w:t>
      </w:r>
      <w:r w:rsidRPr="00AE148D">
        <w:rPr>
          <w:lang w:val="de-DE"/>
        </w:rPr>
        <w:t>:</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bookmarkStart w:id="28" w:name="_MON_1410431872"/>
    <w:bookmarkEnd w:id="28"/>
    <w:p w:rsidR="003526D2" w:rsidRPr="00AE148D" w:rsidRDefault="000D3471" w:rsidP="00C76D6A">
      <w:pPr>
        <w:pStyle w:val="BodyText"/>
        <w:rPr>
          <w:lang w:val="de-DE"/>
        </w:rPr>
      </w:pPr>
      <w:r>
        <w:object w:dxaOrig="9021" w:dyaOrig="4872">
          <v:shape id="_x0000_i1036" type="#_x0000_t75" style="width:438.75pt;height:265.5pt" o:ole="" o:preferrelative="f">
            <v:imagedata r:id="rId43" o:title=""/>
            <o:lock v:ext="edit" aspectratio="f"/>
          </v:shape>
          <o:OLEObject Type="Embed" ProgID="Excel.Sheet.12" ShapeID="_x0000_i1036" DrawAspect="Content" ObjectID="_1448991392" r:id="rId44"/>
        </w:object>
      </w:r>
    </w:p>
    <w:p w:rsidR="00C76D6A" w:rsidRDefault="00C76D6A" w:rsidP="003526D2">
      <w:pPr>
        <w:pStyle w:val="BodyText"/>
        <w:rPr>
          <w:lang w:val="de-DE"/>
        </w:rPr>
      </w:pPr>
      <w:r w:rsidRPr="00C55038">
        <w:rPr>
          <w:lang w:val="de-DE"/>
        </w:rPr>
        <w:t xml:space="preserve">Die Wertminderung der Vorräte wurde durch </w:t>
      </w:r>
      <w:r w:rsidRPr="009D57A0">
        <w:rPr>
          <w:lang w:val="de-DE"/>
        </w:rPr>
        <w:t>die</w:t>
      </w:r>
      <w:r w:rsidR="00687C63" w:rsidRPr="00687C63">
        <w:rPr>
          <w:lang w:val="de-DE"/>
        </w:rPr>
        <w:t xml:space="preserve"> </w:t>
      </w:r>
      <w:r w:rsidRPr="00C55038">
        <w:rPr>
          <w:lang w:val="de-DE"/>
        </w:rPr>
        <w:t xml:space="preserve">Bildung einer Wertberichtigung berücksichtigt. Der Wert der Vorräte hat sich insbesondere infolge der Änderung des Produktionssortimentes, der </w:t>
      </w:r>
      <w:r w:rsidRPr="00563EAC">
        <w:rPr>
          <w:lang w:val="de-DE"/>
        </w:rPr>
        <w:t>Überbestände</w:t>
      </w:r>
      <w:r w:rsidR="00687C63" w:rsidRPr="00687C63">
        <w:rPr>
          <w:lang w:val="de-DE"/>
        </w:rPr>
        <w:t xml:space="preserve"> </w:t>
      </w:r>
      <w:r w:rsidRPr="00C55038">
        <w:rPr>
          <w:lang w:val="de-DE"/>
        </w:rPr>
        <w:t xml:space="preserve">(Reichweite) der Vorräte und der Verminderung der Verkaufspreise vermindert. </w:t>
      </w:r>
    </w:p>
    <w:p w:rsidR="00E62FDA" w:rsidRDefault="00E62FDA" w:rsidP="003526D2">
      <w:pPr>
        <w:pStyle w:val="BodyText"/>
        <w:rPr>
          <w:lang w:val="de-DE"/>
        </w:rPr>
      </w:pP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C76D6A" w:rsidRPr="00C55038" w:rsidRDefault="00C76D6A" w:rsidP="00C76D6A">
      <w:pPr>
        <w:pStyle w:val="BodyText"/>
        <w:rPr>
          <w:sz w:val="16"/>
          <w:szCs w:val="16"/>
          <w:lang w:val="de-DE"/>
        </w:rPr>
      </w:pPr>
    </w:p>
    <w:bookmarkStart w:id="29" w:name="_MON_1411989453"/>
    <w:bookmarkEnd w:id="29"/>
    <w:p w:rsidR="002C4500" w:rsidRDefault="00391FEA" w:rsidP="00C76D6A">
      <w:pPr>
        <w:pStyle w:val="BodyText"/>
      </w:pPr>
      <w:r w:rsidRPr="0078754C">
        <w:object w:dxaOrig="8858" w:dyaOrig="1172">
          <v:shape id="_x0000_i1037" type="#_x0000_t75" style="width:438.75pt;height:66pt" o:ole="" o:preferrelative="f">
            <v:imagedata r:id="rId45" o:title=""/>
            <o:lock v:ext="edit" aspectratio="f"/>
          </v:shape>
          <o:OLEObject Type="Embed" ProgID="Excel.Sheet.12" ShapeID="_x0000_i1037" DrawAspect="Content" ObjectID="_1448991393" r:id="rId46"/>
        </w:object>
      </w:r>
    </w:p>
    <w:p w:rsidR="00AE1936" w:rsidRDefault="00AE1936" w:rsidP="00AE1936">
      <w:pPr>
        <w:pStyle w:val="BodyText"/>
      </w:pPr>
      <w:r w:rsidRPr="008C782B">
        <w:rPr>
          <w:i/>
          <w:szCs w:val="18"/>
        </w:rPr>
        <w:t xml:space="preserve">Wenn die Buchführungseinheit einen Inhalt für sie hat, hat sie in dieser die erforderlichen Informationen anzugeben. </w:t>
      </w:r>
      <w:r>
        <w:rPr>
          <w:i/>
          <w:szCs w:val="18"/>
        </w:rPr>
        <w:t>Andernfalls</w:t>
      </w:r>
      <w:r w:rsidRPr="008C782B">
        <w:rPr>
          <w:i/>
          <w:szCs w:val="18"/>
        </w:rPr>
        <w:t xml:space="preserve"> ist sie inklusive dieser Information zu löschen</w:t>
      </w:r>
      <w:r>
        <w:t xml:space="preserve"> .</w:t>
      </w:r>
    </w:p>
    <w:p w:rsidR="00AE1936" w:rsidRDefault="00AE1936" w:rsidP="00AE1936">
      <w:pPr>
        <w:pStyle w:val="BodyText"/>
      </w:pPr>
    </w:p>
    <w:p w:rsidR="00AE1936" w:rsidRDefault="00AE1936" w:rsidP="00AE1936">
      <w:pPr>
        <w:pStyle w:val="BodyText"/>
        <w:rPr>
          <w:lang w:val="de-DE"/>
        </w:rPr>
      </w:pPr>
      <w:r w:rsidRPr="002F0408">
        <w:rPr>
          <w:szCs w:val="18"/>
        </w:rPr>
        <w:t xml:space="preserve">Wert </w:t>
      </w:r>
      <w:r w:rsidR="005506D2" w:rsidRPr="002F0408">
        <w:rPr>
          <w:szCs w:val="18"/>
        </w:rPr>
        <w:t xml:space="preserve">der </w:t>
      </w:r>
      <w:r w:rsidRPr="002F0408">
        <w:rPr>
          <w:szCs w:val="18"/>
        </w:rPr>
        <w:t>Vorrä</w:t>
      </w:r>
      <w:r w:rsidR="00027877" w:rsidRPr="002F0408">
        <w:rPr>
          <w:szCs w:val="18"/>
          <w:lang w:val="de-DE"/>
        </w:rPr>
        <w:t>te</w:t>
      </w:r>
      <w:r w:rsidRPr="002F0408">
        <w:rPr>
          <w:szCs w:val="18"/>
        </w:rPr>
        <w:t xml:space="preserve">, </w:t>
      </w:r>
      <w:r w:rsidRPr="002F0408">
        <w:rPr>
          <w:szCs w:val="18"/>
          <w:lang w:val="de-DE"/>
        </w:rPr>
        <w:t>bei welchen die Buchführungseinheit beschr</w:t>
      </w:r>
      <w:r w:rsidRPr="002F0408">
        <w:rPr>
          <w:szCs w:val="18"/>
        </w:rPr>
        <w:t>ä</w:t>
      </w:r>
      <w:r w:rsidR="00027877" w:rsidRPr="002F0408">
        <w:rPr>
          <w:szCs w:val="18"/>
          <w:lang w:val="de-DE"/>
        </w:rPr>
        <w:t>nkte Verf</w:t>
      </w:r>
      <w:r w:rsidRPr="002F0408">
        <w:rPr>
          <w:szCs w:val="18"/>
          <w:lang w:val="de-DE"/>
        </w:rPr>
        <w:t xml:space="preserve">ügungsrechte hat, beträgt EUR xxx und </w:t>
      </w:r>
      <w:r w:rsidR="002C0059" w:rsidRPr="002F0408">
        <w:rPr>
          <w:szCs w:val="18"/>
          <w:lang w:val="de-DE"/>
        </w:rPr>
        <w:t>es handelt sich um</w:t>
      </w:r>
      <w:r w:rsidRPr="002F0408">
        <w:rPr>
          <w:szCs w:val="18"/>
          <w:lang w:val="de-DE"/>
        </w:rPr>
        <w:t xml:space="preserve"> folgende Vorr</w:t>
      </w:r>
      <w:r w:rsidRPr="002F0408">
        <w:rPr>
          <w:szCs w:val="18"/>
        </w:rPr>
        <w:t>ä</w:t>
      </w:r>
      <w:r w:rsidR="00027877" w:rsidRPr="002F0408">
        <w:rPr>
          <w:szCs w:val="18"/>
          <w:lang w:val="de-DE"/>
        </w:rPr>
        <w:t>te</w:t>
      </w:r>
      <w:r w:rsidR="00F108FC" w:rsidRPr="002F0408">
        <w:rPr>
          <w:szCs w:val="18"/>
          <w:lang w:val="de-DE"/>
        </w:rPr>
        <w:t xml:space="preserve">: </w:t>
      </w:r>
    </w:p>
    <w:p w:rsidR="00C76D6A" w:rsidRDefault="00C76D6A" w:rsidP="00C76D6A">
      <w:pPr>
        <w:pStyle w:val="BodyText"/>
        <w:rPr>
          <w:sz w:val="16"/>
          <w:szCs w:val="16"/>
          <w:lang w:val="de-DE"/>
        </w:rPr>
      </w:pPr>
    </w:p>
    <w:p w:rsidR="00F01166" w:rsidRDefault="008C782B">
      <w:pPr>
        <w:spacing w:after="200" w:line="276" w:lineRule="auto"/>
        <w:ind w:left="426"/>
        <w:jc w:val="both"/>
        <w:rPr>
          <w:i/>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2F0408" w:rsidRDefault="002F0408" w:rsidP="00E62FDA">
      <w:pPr>
        <w:pStyle w:val="BodyText"/>
      </w:pPr>
    </w:p>
    <w:p w:rsidR="00E62FDA" w:rsidRDefault="00E62FDA" w:rsidP="00E62FDA">
      <w:pPr>
        <w:pStyle w:val="BodyText"/>
      </w:pPr>
      <w:r w:rsidRPr="008F49A3">
        <w:lastRenderedPageBreak/>
        <w:t>Inform</w:t>
      </w:r>
      <w:r>
        <w:t>ationen über die Anschaffung der Immobilie zum Verkauf werden in der nachfolgenden Übersicht aufgeführt :</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E91F73" w:rsidRDefault="00E91F73" w:rsidP="00E62FDA">
      <w:pPr>
        <w:pStyle w:val="BodyText"/>
        <w:rPr>
          <w:i/>
          <w:szCs w:val="18"/>
          <w:u w:val="single"/>
        </w:rPr>
      </w:pPr>
    </w:p>
    <w:bookmarkStart w:id="30" w:name="_MON_1405929823"/>
    <w:bookmarkEnd w:id="30"/>
    <w:p w:rsidR="00E62FDA" w:rsidRDefault="00065A1C" w:rsidP="00E62FDA">
      <w:pPr>
        <w:pStyle w:val="BodyText"/>
      </w:pPr>
      <w:r w:rsidRPr="0078754C">
        <w:object w:dxaOrig="8858" w:dyaOrig="1434">
          <v:shape id="_x0000_i1038" type="#_x0000_t75" style="width:438.75pt;height:80.25pt" o:ole="" o:preferrelative="f">
            <v:imagedata r:id="rId47" o:title=""/>
            <o:lock v:ext="edit" aspectratio="f"/>
          </v:shape>
          <o:OLEObject Type="Embed" ProgID="Excel.Sheet.12" ShapeID="_x0000_i1038" DrawAspect="Content" ObjectID="_1448991394" r:id="rId48"/>
        </w:object>
      </w:r>
    </w:p>
    <w:p w:rsidR="00396F74" w:rsidRDefault="00396F74">
      <w:pPr>
        <w:spacing w:after="200" w:line="276" w:lineRule="auto"/>
        <w:rPr>
          <w:b/>
          <w:sz w:val="18"/>
          <w:lang w:val="de-DE"/>
        </w:rPr>
      </w:pPr>
    </w:p>
    <w:p w:rsidR="003A3E9A" w:rsidRDefault="00C76D6A">
      <w:pPr>
        <w:pStyle w:val="Heading2"/>
        <w:rPr>
          <w:lang w:val="de-DE"/>
        </w:rPr>
      </w:pPr>
      <w:r w:rsidRPr="007A4209">
        <w:rPr>
          <w:lang w:val="de-DE"/>
        </w:rPr>
        <w:t>Angaben über Fertigungsaufträge</w:t>
      </w:r>
    </w:p>
    <w:p w:rsidR="00C76D6A" w:rsidRPr="00270DBD" w:rsidRDefault="00C76D6A" w:rsidP="00C76D6A">
      <w:pPr>
        <w:pStyle w:val="BodyText"/>
        <w:rPr>
          <w:szCs w:val="18"/>
          <w:lang w:val="de-DE"/>
        </w:rPr>
      </w:pPr>
    </w:p>
    <w:p w:rsidR="004E3686" w:rsidRDefault="009A1811" w:rsidP="004E3686">
      <w:pPr>
        <w:pStyle w:val="BodyText"/>
      </w:pPr>
      <w:r w:rsidRPr="009A1811">
        <w:rPr>
          <w:lang w:val="de-DE"/>
        </w:rPr>
        <w:t>Die Auftragserlöse wurden aufgrund des im Vertrag vereinbarten Preises festgelegt und in der laufenden Buchungsperiode nach dem Fertigstellung</w:t>
      </w:r>
      <w:r w:rsidR="00970D58">
        <w:rPr>
          <w:lang w:val="de-DE"/>
        </w:rPr>
        <w:t>s</w:t>
      </w:r>
      <w:r w:rsidRPr="009A1811">
        <w:rPr>
          <w:lang w:val="de-DE"/>
        </w:rPr>
        <w:t xml:space="preserve">grad ausgewiesen. Der Fertigstellungsgrad wurde </w:t>
      </w:r>
      <w:r w:rsidR="00902E41" w:rsidRPr="00BC6DED">
        <w:rPr>
          <w:bCs/>
          <w:lang w:val="de-DE"/>
        </w:rPr>
        <w:t>als das Verhältnis der bereits für die erbrachte Leistung angefallenen Auftragskosten zu den budgetierten Auftragskosten ermittelt.</w:t>
      </w:r>
      <w:r w:rsidR="00031658">
        <w:rPr>
          <w:bCs/>
          <w:lang w:val="de-DE"/>
        </w:rPr>
        <w:t xml:space="preserve"> In die Berechnung wurden nur jene Kosten einbezogen, die der bereits erbrachten Leistung entsprechen</w:t>
      </w:r>
      <w:r w:rsidR="00970D58">
        <w:rPr>
          <w:bCs/>
          <w:lang w:val="de-DE"/>
        </w:rPr>
        <w:t>.</w:t>
      </w:r>
    </w:p>
    <w:p w:rsidR="004E3686" w:rsidRPr="006758BE" w:rsidRDefault="004E3686" w:rsidP="00C76D6A">
      <w:pPr>
        <w:pStyle w:val="BodyText"/>
      </w:pPr>
    </w:p>
    <w:p w:rsidR="00C76D6A" w:rsidRDefault="00C76D6A" w:rsidP="00C76D6A">
      <w:pPr>
        <w:pStyle w:val="BodyText"/>
        <w:rPr>
          <w:lang w:val="de-DE"/>
        </w:rPr>
      </w:pPr>
      <w:r w:rsidRPr="00C55038">
        <w:rPr>
          <w:lang w:val="de-DE"/>
        </w:rPr>
        <w:t>Zusätzliche Informationen über</w:t>
      </w:r>
      <w:r>
        <w:rPr>
          <w:lang w:val="de-DE"/>
        </w:rPr>
        <w:t xml:space="preserve"> die</w:t>
      </w:r>
      <w:r w:rsidRPr="00C55038">
        <w:rPr>
          <w:lang w:val="de-DE"/>
        </w:rPr>
        <w:t xml:space="preserve"> Fertigungsaufträge werden in folgende</w:t>
      </w:r>
      <w:r w:rsidR="00B75EA7">
        <w:rPr>
          <w:lang w:val="de-DE"/>
        </w:rPr>
        <w:t>n</w:t>
      </w:r>
      <w:r w:rsidRPr="00C55038">
        <w:rPr>
          <w:lang w:val="de-DE"/>
        </w:rPr>
        <w:t xml:space="preserve"> Tabelle</w:t>
      </w:r>
      <w:r w:rsidR="00B75EA7">
        <w:rPr>
          <w:lang w:val="de-DE"/>
        </w:rPr>
        <w:t>n</w:t>
      </w:r>
      <w:r w:rsidRPr="00C55038">
        <w:rPr>
          <w:lang w:val="de-DE"/>
        </w:rPr>
        <w:t xml:space="preserve"> gezeigt: </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sidR="00E62FDA" w:rsidRPr="00D91A08">
        <w:rPr>
          <w:i/>
          <w:szCs w:val="18"/>
          <w:u w:val="single"/>
        </w:rPr>
        <w:t>]</w:t>
      </w:r>
    </w:p>
    <w:p w:rsidR="00E62FDA" w:rsidRDefault="00E62FDA" w:rsidP="00C76D6A">
      <w:pPr>
        <w:pStyle w:val="BodyText"/>
        <w:rPr>
          <w:lang w:val="de-DE"/>
        </w:rPr>
      </w:pPr>
    </w:p>
    <w:p w:rsidR="00B75EA7" w:rsidRDefault="00B75EA7" w:rsidP="00C76D6A">
      <w:pPr>
        <w:pStyle w:val="BodyText"/>
        <w:rPr>
          <w:lang w:val="de-DE"/>
        </w:rPr>
      </w:pPr>
    </w:p>
    <w:bookmarkStart w:id="31" w:name="_MON_1410433058"/>
    <w:bookmarkEnd w:id="31"/>
    <w:p w:rsidR="00B75EA7" w:rsidRDefault="00171D95" w:rsidP="00C76D6A">
      <w:pPr>
        <w:pStyle w:val="BodyText"/>
        <w:rPr>
          <w:lang w:val="de-DE"/>
        </w:rPr>
      </w:pPr>
      <w:r>
        <w:object w:dxaOrig="8794" w:dyaOrig="2569">
          <v:shape id="_x0000_i1039" type="#_x0000_t75" style="width:438pt;height:141.75pt" o:ole="" o:preferrelative="f">
            <v:imagedata r:id="rId49" o:title=""/>
            <o:lock v:ext="edit" aspectratio="f"/>
          </v:shape>
          <o:OLEObject Type="Embed" ProgID="Excel.Sheet.12" ShapeID="_x0000_i1039" DrawAspect="Content" ObjectID="_1448991395" r:id="rId50"/>
        </w:object>
      </w:r>
    </w:p>
    <w:p w:rsidR="00BE2D5F" w:rsidRDefault="00BE2D5F" w:rsidP="00C76D6A">
      <w:pPr>
        <w:pStyle w:val="BodyText"/>
        <w:rPr>
          <w:lang w:val="de-DE"/>
        </w:rPr>
      </w:pPr>
    </w:p>
    <w:p w:rsidR="00396F74" w:rsidRDefault="00396F74" w:rsidP="00C76D6A">
      <w:pPr>
        <w:pStyle w:val="BodyText"/>
        <w:rPr>
          <w:lang w:val="de-DE"/>
        </w:rPr>
      </w:pP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396F74" w:rsidRDefault="00396F74" w:rsidP="00C76D6A">
      <w:pPr>
        <w:pStyle w:val="BodyText"/>
        <w:rPr>
          <w:lang w:val="de-DE"/>
        </w:rPr>
      </w:pPr>
    </w:p>
    <w:bookmarkStart w:id="32" w:name="_MON_1410433081"/>
    <w:bookmarkEnd w:id="32"/>
    <w:p w:rsidR="00B75EA7" w:rsidRDefault="00171D95" w:rsidP="00C76D6A">
      <w:pPr>
        <w:pStyle w:val="BodyText"/>
      </w:pPr>
      <w:r>
        <w:object w:dxaOrig="8729" w:dyaOrig="3204">
          <v:shape id="_x0000_i1040" type="#_x0000_t75" style="width:438pt;height:178.5pt" o:ole="" o:preferrelative="f">
            <v:imagedata r:id="rId51" o:title=""/>
            <o:lock v:ext="edit" aspectratio="f"/>
          </v:shape>
          <o:OLEObject Type="Embed" ProgID="Excel.Sheet.12" ShapeID="_x0000_i1040" DrawAspect="Content" ObjectID="_1448991396" r:id="rId52"/>
        </w:object>
      </w:r>
    </w:p>
    <w:p w:rsidR="00F63991" w:rsidRPr="00270DBD" w:rsidRDefault="00F63991" w:rsidP="00C76D6A">
      <w:pPr>
        <w:pStyle w:val="BodyText"/>
        <w:rPr>
          <w:szCs w:val="18"/>
          <w:lang w:val="de-DE"/>
        </w:rPr>
      </w:pPr>
    </w:p>
    <w:p w:rsidR="00B823AB" w:rsidRPr="00270DBD" w:rsidRDefault="008C782B">
      <w:pPr>
        <w:spacing w:after="200" w:line="276" w:lineRule="auto"/>
        <w:rPr>
          <w:b/>
          <w:sz w:val="18"/>
          <w:szCs w:val="18"/>
        </w:rPr>
      </w:pPr>
      <w:r w:rsidRPr="008C782B">
        <w:rPr>
          <w:sz w:val="18"/>
          <w:szCs w:val="18"/>
        </w:rPr>
        <w:br w:type="page"/>
      </w:r>
    </w:p>
    <w:p w:rsidR="00E62FDA" w:rsidRDefault="00E62FDA" w:rsidP="00E62FDA">
      <w:pPr>
        <w:pStyle w:val="Heading2"/>
      </w:pPr>
      <w:r>
        <w:lastRenderedPageBreak/>
        <w:t xml:space="preserve">Angaben über den Fertigungsbau einer zum Verkauf bestimmten Immobilie </w:t>
      </w:r>
    </w:p>
    <w:p w:rsidR="00F01166" w:rsidRDefault="00F01166">
      <w:pPr>
        <w:rPr>
          <w:sz w:val="18"/>
          <w:szCs w:val="18"/>
        </w:rPr>
      </w:pPr>
    </w:p>
    <w:p w:rsidR="00F01166" w:rsidRDefault="008C782B">
      <w:pPr>
        <w:spacing w:after="200" w:line="276" w:lineRule="auto"/>
        <w:ind w:left="426"/>
        <w:jc w:val="both"/>
        <w:rPr>
          <w:i/>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E62FDA" w:rsidRPr="00CA1B1A" w:rsidRDefault="00E62FDA" w:rsidP="00E62FDA">
      <w:pPr>
        <w:pStyle w:val="BodyText"/>
      </w:pPr>
    </w:p>
    <w:p w:rsidR="00E62FDA" w:rsidRDefault="00C17A50" w:rsidP="00E62FDA">
      <w:pPr>
        <w:pStyle w:val="BodyText"/>
      </w:pPr>
      <w:r>
        <w:t>Informationen über den Fertigungsbau der zum Verkauf bestimmten Immobilien werden in den nachfolgenden Tabellen aufgeführt :</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E62FDA" w:rsidRDefault="00E62FDA" w:rsidP="00E62FDA">
      <w:pPr>
        <w:ind w:left="426"/>
      </w:pPr>
    </w:p>
    <w:bookmarkStart w:id="33" w:name="_MON_1405930214"/>
    <w:bookmarkEnd w:id="33"/>
    <w:p w:rsidR="00E62FDA" w:rsidRDefault="00171D95" w:rsidP="00E62FDA">
      <w:pPr>
        <w:ind w:left="426"/>
      </w:pPr>
      <w:r>
        <w:object w:dxaOrig="8794" w:dyaOrig="3611">
          <v:shape id="_x0000_i1041" type="#_x0000_t75" style="width:438pt;height:198.75pt" o:ole="" o:preferrelative="f">
            <v:imagedata r:id="rId53" o:title=""/>
            <o:lock v:ext="edit" aspectratio="f"/>
          </v:shape>
          <o:OLEObject Type="Embed" ProgID="Excel.Sheet.12" ShapeID="_x0000_i1041" DrawAspect="Content" ObjectID="_1448991397" r:id="rId54"/>
        </w:object>
      </w:r>
    </w:p>
    <w:p w:rsidR="00E62FDA" w:rsidRDefault="00E62FDA" w:rsidP="00E62FDA">
      <w:pPr>
        <w:ind w:left="426"/>
      </w:pPr>
    </w:p>
    <w:p w:rsidR="00F01166" w:rsidRDefault="008C782B">
      <w:pPr>
        <w:ind w:left="426"/>
        <w:jc w:val="both"/>
        <w:rPr>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w:t>
      </w:r>
    </w:p>
    <w:p w:rsidR="00E62FDA" w:rsidRPr="00CA1B1A" w:rsidRDefault="00E62FDA" w:rsidP="00E62FDA">
      <w:pPr>
        <w:pStyle w:val="BodyText"/>
        <w:rPr>
          <w:i/>
          <w:szCs w:val="18"/>
          <w:u w:val="single"/>
        </w:rPr>
      </w:pPr>
    </w:p>
    <w:p w:rsidR="00E62FDA" w:rsidRDefault="00252994" w:rsidP="00E62FDA">
      <w:pPr>
        <w:pStyle w:val="BodyText"/>
        <w:rPr>
          <w:i/>
          <w:szCs w:val="18"/>
          <w:u w:val="single"/>
        </w:rPr>
      </w:pPr>
      <w:r>
        <w:rPr>
          <w:i/>
          <w:szCs w:val="18"/>
          <w:u w:val="single"/>
        </w:rPr>
        <w:t>(</w:t>
      </w:r>
      <w:r w:rsidR="00C17A50">
        <w:rPr>
          <w:i/>
          <w:szCs w:val="18"/>
          <w:u w:val="single"/>
        </w:rPr>
        <w:t>Der Inhalt, die Anzahl der Zeilen und Spalten in der Tabelle dürfen nicht geändert werden. Diese Information ist zu löschen.</w:t>
      </w:r>
      <w:r>
        <w:rPr>
          <w:i/>
          <w:szCs w:val="18"/>
          <w:u w:val="single"/>
        </w:rPr>
        <w:t>)</w:t>
      </w:r>
    </w:p>
    <w:p w:rsidR="00E62FDA" w:rsidRPr="00270DBD" w:rsidRDefault="00E62FDA" w:rsidP="00E62FDA">
      <w:pPr>
        <w:ind w:left="426"/>
        <w:rPr>
          <w:sz w:val="18"/>
          <w:szCs w:val="18"/>
        </w:rPr>
      </w:pPr>
    </w:p>
    <w:bookmarkStart w:id="34" w:name="_MON_1405930342"/>
    <w:bookmarkEnd w:id="34"/>
    <w:p w:rsidR="00E62FDA" w:rsidRDefault="00171D95" w:rsidP="00E62FDA">
      <w:pPr>
        <w:ind w:left="426"/>
      </w:pPr>
      <w:r>
        <w:object w:dxaOrig="8729" w:dyaOrig="3959">
          <v:shape id="_x0000_i1042" type="#_x0000_t75" style="width:438pt;height:219pt" o:ole="" o:preferrelative="f">
            <v:imagedata r:id="rId55" o:title=""/>
            <o:lock v:ext="edit" aspectratio="f"/>
          </v:shape>
          <o:OLEObject Type="Embed" ProgID="Excel.Sheet.12" ShapeID="_x0000_i1042" DrawAspect="Content" ObjectID="_1448991398" r:id="rId56"/>
        </w:object>
      </w:r>
    </w:p>
    <w:p w:rsidR="00E62FDA" w:rsidRPr="00270DBD" w:rsidRDefault="00E62FDA" w:rsidP="00E62FDA">
      <w:pPr>
        <w:ind w:left="426"/>
        <w:rPr>
          <w:sz w:val="18"/>
          <w:szCs w:val="18"/>
        </w:rPr>
      </w:pPr>
    </w:p>
    <w:p w:rsidR="00E62FDA" w:rsidRPr="00270DBD" w:rsidRDefault="00E62FDA" w:rsidP="00E62FDA">
      <w:pPr>
        <w:ind w:left="426"/>
        <w:rPr>
          <w:sz w:val="18"/>
          <w:szCs w:val="18"/>
        </w:rPr>
      </w:pPr>
    </w:p>
    <w:p w:rsidR="00E62FDA" w:rsidRPr="00270DBD" w:rsidRDefault="00E62FDA" w:rsidP="00E62FDA">
      <w:pPr>
        <w:spacing w:after="200" w:line="276" w:lineRule="auto"/>
        <w:rPr>
          <w:b/>
          <w:sz w:val="18"/>
          <w:szCs w:val="18"/>
        </w:rPr>
      </w:pPr>
    </w:p>
    <w:p w:rsidR="00B430D3" w:rsidRPr="00B823AB" w:rsidRDefault="008C782B" w:rsidP="00B823AB">
      <w:pPr>
        <w:pStyle w:val="Heading2"/>
      </w:pPr>
      <w:r w:rsidRPr="008C782B">
        <w:lastRenderedPageBreak/>
        <w:t>Forderungen</w:t>
      </w:r>
    </w:p>
    <w:p w:rsidR="00C76D6A" w:rsidRPr="00395629" w:rsidRDefault="00C76D6A" w:rsidP="00C76D6A">
      <w:pPr>
        <w:pStyle w:val="BodyText"/>
        <w:rPr>
          <w:lang w:val="de-DE"/>
        </w:rPr>
      </w:pPr>
    </w:p>
    <w:p w:rsidR="00C76D6A" w:rsidRDefault="00C76D6A" w:rsidP="00C76D6A">
      <w:pPr>
        <w:pStyle w:val="BodyText"/>
        <w:rPr>
          <w:lang w:val="de-DE"/>
        </w:rPr>
      </w:pPr>
      <w:r w:rsidRPr="00395629">
        <w:rPr>
          <w:lang w:val="de-DE"/>
        </w:rPr>
        <w:t xml:space="preserve">Die Entwicklung der Wertberichtigung im Geschäftsjahr wird in folgender Tabelle </w:t>
      </w:r>
      <w:r>
        <w:rPr>
          <w:lang w:val="de-DE"/>
        </w:rPr>
        <w:t>dargestellt</w:t>
      </w:r>
      <w:r w:rsidRPr="00395629">
        <w:rPr>
          <w:lang w:val="de-DE"/>
        </w:rPr>
        <w:t>:</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E62FDA" w:rsidRDefault="00E62FDA" w:rsidP="00C76D6A">
      <w:pPr>
        <w:pStyle w:val="BodyText"/>
        <w:rPr>
          <w:lang w:val="de-DE"/>
        </w:rPr>
      </w:pPr>
    </w:p>
    <w:p w:rsidR="00B75EA7" w:rsidRDefault="00B75EA7" w:rsidP="00C76D6A">
      <w:pPr>
        <w:pStyle w:val="BodyText"/>
        <w:rPr>
          <w:lang w:val="de-DE"/>
        </w:rPr>
      </w:pPr>
    </w:p>
    <w:bookmarkStart w:id="35" w:name="_MON_1410435494"/>
    <w:bookmarkEnd w:id="35"/>
    <w:p w:rsidR="005F0613" w:rsidRPr="00270DBD" w:rsidRDefault="00E91F73" w:rsidP="001814FE">
      <w:pPr>
        <w:pStyle w:val="BodyText"/>
        <w:rPr>
          <w:szCs w:val="18"/>
          <w:lang w:val="de-DE"/>
        </w:rPr>
      </w:pPr>
      <w:r>
        <w:object w:dxaOrig="8751" w:dyaOrig="6211">
          <v:shape id="_x0000_i1043" type="#_x0000_t75" style="width:438.75pt;height:348pt" o:ole="" o:preferrelative="f">
            <v:imagedata r:id="rId57" o:title=""/>
            <o:lock v:ext="edit" aspectratio="f"/>
          </v:shape>
          <o:OLEObject Type="Embed" ProgID="Excel.Sheet.12" ShapeID="_x0000_i1043" DrawAspect="Content" ObjectID="_1448991399" r:id="rId58"/>
        </w:object>
      </w:r>
    </w:p>
    <w:p w:rsidR="001814FE" w:rsidRPr="00270DBD" w:rsidRDefault="008C782B">
      <w:pPr>
        <w:spacing w:after="200" w:line="276" w:lineRule="auto"/>
        <w:rPr>
          <w:sz w:val="18"/>
          <w:szCs w:val="18"/>
          <w:lang w:val="de-DE"/>
        </w:rPr>
      </w:pPr>
      <w:r w:rsidRPr="008C782B">
        <w:rPr>
          <w:sz w:val="18"/>
          <w:szCs w:val="18"/>
          <w:lang w:val="de-DE"/>
        </w:rPr>
        <w:br w:type="page"/>
      </w:r>
    </w:p>
    <w:p w:rsidR="009D0700" w:rsidRDefault="004208DB" w:rsidP="009D0700">
      <w:pPr>
        <w:pStyle w:val="BodyText"/>
        <w:rPr>
          <w:lang w:val="de-DE"/>
        </w:rPr>
      </w:pPr>
      <w:r>
        <w:rPr>
          <w:lang w:val="de-DE"/>
        </w:rPr>
        <w:lastRenderedPageBreak/>
        <w:t xml:space="preserve">Die Altersstruktur der Forderungen </w:t>
      </w:r>
      <w:r w:rsidR="00687C63" w:rsidRPr="00687C63">
        <w:rPr>
          <w:lang w:val="de-DE"/>
        </w:rPr>
        <w:t xml:space="preserve">für die laufende Buchungsperiode </w:t>
      </w:r>
      <w:r w:rsidR="009D0700" w:rsidRPr="00F63991">
        <w:rPr>
          <w:lang w:val="de-DE"/>
        </w:rPr>
        <w:t>wird in folgender Tabelle angeführt:</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E62FDA" w:rsidRPr="00F63991" w:rsidRDefault="00E62FDA" w:rsidP="009D0700">
      <w:pPr>
        <w:pStyle w:val="BodyText"/>
        <w:rPr>
          <w:lang w:val="de-DE"/>
        </w:rPr>
      </w:pPr>
    </w:p>
    <w:bookmarkStart w:id="36" w:name="_MON_1410435608"/>
    <w:bookmarkEnd w:id="36"/>
    <w:p w:rsidR="00687C63" w:rsidRDefault="00952E57" w:rsidP="00687C63">
      <w:pPr>
        <w:pStyle w:val="BodyText"/>
        <w:rPr>
          <w:lang w:val="de-DE"/>
        </w:rPr>
      </w:pPr>
      <w:r>
        <w:object w:dxaOrig="9019" w:dyaOrig="6305">
          <v:shape id="_x0000_i1044" type="#_x0000_t75" style="width:438pt;height:342pt" o:ole="" o:preferrelative="f">
            <v:imagedata r:id="rId59" o:title=""/>
            <o:lock v:ext="edit" aspectratio="f"/>
          </v:shape>
          <o:OLEObject Type="Embed" ProgID="Excel.Sheet.12" ShapeID="_x0000_i1044" DrawAspect="Content" ObjectID="_1448991400" r:id="rId60"/>
        </w:object>
      </w:r>
      <w:r w:rsidR="00F63991">
        <w:rPr>
          <w:lang w:val="de-DE"/>
        </w:rPr>
        <w:br w:type="page"/>
      </w:r>
    </w:p>
    <w:p w:rsidR="00536838" w:rsidRDefault="00585B18" w:rsidP="00536838">
      <w:pPr>
        <w:pStyle w:val="BodyText"/>
        <w:rPr>
          <w:lang w:val="de-DE"/>
        </w:rPr>
      </w:pPr>
      <w:r w:rsidRPr="00F63991">
        <w:rPr>
          <w:lang w:val="de-DE"/>
        </w:rPr>
        <w:lastRenderedPageBreak/>
        <w:t xml:space="preserve">Die Altersstruktur der Forderungen </w:t>
      </w:r>
      <w:r w:rsidR="00687C63" w:rsidRPr="00687C63">
        <w:rPr>
          <w:lang w:val="de-DE"/>
        </w:rPr>
        <w:t xml:space="preserve">für die Vorperiode </w:t>
      </w:r>
      <w:r w:rsidRPr="00F63991">
        <w:rPr>
          <w:lang w:val="de-DE"/>
        </w:rPr>
        <w:t>wird in folgender Tabelle angeführt:</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E62FDA" w:rsidRPr="00F63991" w:rsidRDefault="00E62FDA" w:rsidP="00536838">
      <w:pPr>
        <w:pStyle w:val="BodyText"/>
        <w:rPr>
          <w:lang w:val="de-DE"/>
        </w:rPr>
      </w:pPr>
    </w:p>
    <w:p w:rsidR="00536838" w:rsidRPr="005F0613" w:rsidRDefault="00536838" w:rsidP="00536838">
      <w:pPr>
        <w:pStyle w:val="BodyText"/>
        <w:rPr>
          <w:lang w:val="de-DE"/>
        </w:rPr>
      </w:pPr>
    </w:p>
    <w:bookmarkStart w:id="37" w:name="_MON_1410435681"/>
    <w:bookmarkEnd w:id="37"/>
    <w:p w:rsidR="00187D3A" w:rsidRDefault="00171D95" w:rsidP="00536838">
      <w:pPr>
        <w:pStyle w:val="BodyText"/>
      </w:pPr>
      <w:r w:rsidRPr="00DD0E32">
        <w:object w:dxaOrig="8971" w:dyaOrig="6305">
          <v:shape id="_x0000_i1045" type="#_x0000_t75" style="width:438pt;height:343.5pt" o:ole="" o:preferrelative="f">
            <v:imagedata r:id="rId61" o:title=""/>
            <o:lock v:ext="edit" aspectratio="f"/>
          </v:shape>
          <o:OLEObject Type="Embed" ProgID="Excel.Sheet.12" ShapeID="_x0000_i1045" DrawAspect="Content" ObjectID="_1448991401" r:id="rId62"/>
        </w:object>
      </w:r>
    </w:p>
    <w:p w:rsidR="00304CDA" w:rsidRDefault="00304CDA" w:rsidP="00536838">
      <w:pPr>
        <w:pStyle w:val="BodyText"/>
        <w:rPr>
          <w:lang w:val="de-DE"/>
        </w:rPr>
      </w:pPr>
    </w:p>
    <w:p w:rsidR="00EF663B" w:rsidRPr="00536838" w:rsidRDefault="00EF663B" w:rsidP="009D0700">
      <w:pPr>
        <w:pStyle w:val="BodyText"/>
      </w:pPr>
    </w:p>
    <w:p w:rsidR="00F01166" w:rsidRDefault="008C782B">
      <w:pPr>
        <w:spacing w:after="200" w:line="276" w:lineRule="auto"/>
        <w:ind w:left="426"/>
        <w:jc w:val="both"/>
        <w:rPr>
          <w:sz w:val="18"/>
          <w:szCs w:val="18"/>
        </w:rPr>
      </w:pPr>
      <w:r w:rsidRPr="008C782B">
        <w:rPr>
          <w:sz w:val="18"/>
          <w:szCs w:val="18"/>
        </w:rPr>
        <w:t>Die latente Steuerforderung (Konto 481) und der Nettowert des Auftrages (Konto 316) sind kein Bestandteil der Tabellen über die Altersstruktur der Forderungen für die laufende Buchungsperiode sowie die unmittelbare Vorperiode. Die Informationen über die latente Steuer sind im Teil G.4. und die Informationen über den  Nettowert des Auftrages im Teil F.4</w:t>
      </w:r>
      <w:r w:rsidR="00AF5787">
        <w:rPr>
          <w:sz w:val="18"/>
          <w:szCs w:val="18"/>
        </w:rPr>
        <w:t>.</w:t>
      </w:r>
      <w:r w:rsidRPr="008C782B">
        <w:rPr>
          <w:sz w:val="18"/>
          <w:szCs w:val="18"/>
        </w:rPr>
        <w:t xml:space="preserve"> und F.5.</w:t>
      </w:r>
      <w:r w:rsidR="00AF5787">
        <w:rPr>
          <w:sz w:val="18"/>
          <w:szCs w:val="18"/>
        </w:rPr>
        <w:t xml:space="preserve"> </w:t>
      </w:r>
      <w:r w:rsidRPr="008C782B">
        <w:rPr>
          <w:sz w:val="18"/>
          <w:szCs w:val="18"/>
        </w:rPr>
        <w:t>angeführt.</w:t>
      </w:r>
      <w:r w:rsidRPr="008C782B">
        <w:rPr>
          <w:sz w:val="18"/>
          <w:szCs w:val="18"/>
        </w:rPr>
        <w:br w:type="page"/>
      </w:r>
    </w:p>
    <w:p w:rsidR="00585B18" w:rsidRDefault="00687C63" w:rsidP="00585B18">
      <w:pPr>
        <w:pStyle w:val="BodyText"/>
        <w:rPr>
          <w:lang w:val="de-DE"/>
        </w:rPr>
      </w:pPr>
      <w:r w:rsidRPr="00687C63">
        <w:rPr>
          <w:lang w:val="de-DE"/>
        </w:rPr>
        <w:lastRenderedPageBreak/>
        <w:t>Die Informationen über die durch ein Pfandrecht oder durch eine andere Form der Sicherung gesicherten Forderungen werden in der folgenden Tabelle angeführt:</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585B18" w:rsidRDefault="00585B18" w:rsidP="00585B18">
      <w:pPr>
        <w:pStyle w:val="BodyText"/>
      </w:pPr>
    </w:p>
    <w:p w:rsidR="00585B18" w:rsidRPr="00423AFA" w:rsidRDefault="00585B18" w:rsidP="00585B18">
      <w:pPr>
        <w:pStyle w:val="BodyText"/>
      </w:pPr>
    </w:p>
    <w:bookmarkStart w:id="38" w:name="_MON_1411457095"/>
    <w:bookmarkEnd w:id="38"/>
    <w:p w:rsidR="00EF663B" w:rsidRDefault="003203F3" w:rsidP="00142DDE">
      <w:pPr>
        <w:pStyle w:val="BodyText"/>
      </w:pPr>
      <w:r w:rsidRPr="00167134">
        <w:object w:dxaOrig="8959" w:dyaOrig="1403">
          <v:shape id="_x0000_i1046" type="#_x0000_t75" style="width:438.75pt;height:76.5pt" o:ole="" o:preferrelative="f">
            <v:imagedata r:id="rId63" o:title=""/>
            <o:lock v:ext="edit" aspectratio="f"/>
          </v:shape>
          <o:OLEObject Type="Embed" ProgID="Excel.Sheet.12" ShapeID="_x0000_i1046" DrawAspect="Content" ObjectID="_1448991402" r:id="rId64"/>
        </w:object>
      </w:r>
    </w:p>
    <w:p w:rsidR="00542886" w:rsidRDefault="00542886" w:rsidP="00111674">
      <w:pPr>
        <w:pStyle w:val="BodyText"/>
        <w:rPr>
          <w:i/>
          <w:szCs w:val="18"/>
        </w:rPr>
      </w:pPr>
    </w:p>
    <w:p w:rsidR="00111674" w:rsidRDefault="00111674" w:rsidP="00111674">
      <w:pPr>
        <w:pStyle w:val="BodyText"/>
      </w:pPr>
      <w:r w:rsidRPr="008C782B">
        <w:rPr>
          <w:i/>
          <w:szCs w:val="18"/>
        </w:rPr>
        <w:t xml:space="preserve">Wenn die Buchführungseinheit einen Inhalt für sie hat, hat sie in dieser die erforderlichen Informationen anzugeben. </w:t>
      </w:r>
      <w:r>
        <w:rPr>
          <w:i/>
          <w:szCs w:val="18"/>
        </w:rPr>
        <w:t>Andernfalls</w:t>
      </w:r>
      <w:r w:rsidRPr="008C782B">
        <w:rPr>
          <w:i/>
          <w:szCs w:val="18"/>
        </w:rPr>
        <w:t xml:space="preserve"> ist sie inklusive dieser Information zu löschen</w:t>
      </w:r>
      <w:r>
        <w:t xml:space="preserve"> .</w:t>
      </w:r>
    </w:p>
    <w:p w:rsidR="00111674" w:rsidRDefault="00111674" w:rsidP="00111674">
      <w:pPr>
        <w:pStyle w:val="BodyText"/>
      </w:pPr>
    </w:p>
    <w:p w:rsidR="00111674" w:rsidRDefault="00111674" w:rsidP="00111674">
      <w:pPr>
        <w:pStyle w:val="BodyText"/>
        <w:rPr>
          <w:lang w:val="de-DE"/>
        </w:rPr>
      </w:pPr>
      <w:r w:rsidRPr="00542886">
        <w:rPr>
          <w:szCs w:val="18"/>
        </w:rPr>
        <w:t xml:space="preserve">Wert der Forderungen, </w:t>
      </w:r>
      <w:r w:rsidRPr="00542886">
        <w:rPr>
          <w:szCs w:val="18"/>
          <w:lang w:val="de-DE"/>
        </w:rPr>
        <w:t>bei welchen die Buchführungseinheit beschr</w:t>
      </w:r>
      <w:r w:rsidRPr="00542886">
        <w:rPr>
          <w:szCs w:val="18"/>
        </w:rPr>
        <w:t>ä</w:t>
      </w:r>
      <w:r w:rsidR="00027877" w:rsidRPr="00542886">
        <w:rPr>
          <w:szCs w:val="18"/>
          <w:lang w:val="de-DE"/>
        </w:rPr>
        <w:t>nkte Verf</w:t>
      </w:r>
      <w:r w:rsidRPr="00542886">
        <w:rPr>
          <w:szCs w:val="18"/>
          <w:lang w:val="de-DE"/>
        </w:rPr>
        <w:t xml:space="preserve">ügungsrechte hat, beträgt EUR xxx und </w:t>
      </w:r>
      <w:r w:rsidR="00F108FC" w:rsidRPr="00542886">
        <w:rPr>
          <w:szCs w:val="18"/>
          <w:lang w:val="de-DE"/>
        </w:rPr>
        <w:t xml:space="preserve">es handelt sich um </w:t>
      </w:r>
      <w:r w:rsidRPr="00542886">
        <w:rPr>
          <w:szCs w:val="18"/>
          <w:lang w:val="de-DE"/>
        </w:rPr>
        <w:t xml:space="preserve"> folgende Forderungen</w:t>
      </w:r>
      <w:r w:rsidR="00F108FC" w:rsidRPr="00542886">
        <w:rPr>
          <w:szCs w:val="18"/>
          <w:lang w:val="de-DE"/>
        </w:rPr>
        <w:t xml:space="preserve">: </w:t>
      </w:r>
    </w:p>
    <w:p w:rsidR="00EF663B" w:rsidRDefault="00EF663B" w:rsidP="00142DDE">
      <w:pPr>
        <w:pStyle w:val="BodyText"/>
        <w:rPr>
          <w:lang w:val="de-DE"/>
        </w:rPr>
      </w:pPr>
    </w:p>
    <w:p w:rsidR="00111674" w:rsidRDefault="00111674" w:rsidP="00142DDE">
      <w:pPr>
        <w:pStyle w:val="BodyText"/>
        <w:rPr>
          <w:lang w:val="de-DE"/>
        </w:rPr>
      </w:pPr>
    </w:p>
    <w:p w:rsidR="00F01166" w:rsidRDefault="008C782B">
      <w:pPr>
        <w:spacing w:after="200" w:line="276" w:lineRule="auto"/>
        <w:ind w:left="426"/>
        <w:jc w:val="both"/>
        <w:rPr>
          <w:i/>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E62FDA" w:rsidRPr="00CA1B1A" w:rsidRDefault="00E62FDA" w:rsidP="00E62FDA">
      <w:pPr>
        <w:pStyle w:val="BodyText"/>
      </w:pPr>
    </w:p>
    <w:p w:rsidR="00E62FDA" w:rsidRPr="00CA1B1A" w:rsidRDefault="008C782B" w:rsidP="00E62FDA">
      <w:pPr>
        <w:pStyle w:val="BodyText"/>
      </w:pPr>
      <w:r w:rsidRPr="008C782B">
        <w:t>Die Gesellschaft hat Forderungen aus de</w:t>
      </w:r>
      <w:r w:rsidR="00A657A4">
        <w:t>m</w:t>
      </w:r>
      <w:r w:rsidRPr="008C782B">
        <w:t xml:space="preserve"> Finanzierungs</w:t>
      </w:r>
      <w:r w:rsidR="00374E79">
        <w:t>leasing</w:t>
      </w:r>
      <w:r w:rsidRPr="008C782B">
        <w:t xml:space="preserve"> </w:t>
      </w:r>
      <w:r w:rsidRPr="008C782B">
        <w:rPr>
          <w:i/>
        </w:rPr>
        <w:t>(den Gegenstand der Vermietung zu spezifizieren)</w:t>
      </w:r>
      <w:r w:rsidRPr="008C782B">
        <w:t>. Die Höhe der zukünftige Zahlungen aufgeteilt in den Kapitalbetrag und Finanzertrag</w:t>
      </w:r>
      <w:r w:rsidR="00374E79">
        <w:t xml:space="preserve"> wird</w:t>
      </w:r>
      <w:r w:rsidRPr="008C782B">
        <w:t xml:space="preserve"> je nach der Fälligkeit in der nachfolgenden Übersicht aufgeführt:</w:t>
      </w:r>
    </w:p>
    <w:p w:rsidR="00E62FDA" w:rsidRDefault="00252994" w:rsidP="00E62FDA">
      <w:pPr>
        <w:pStyle w:val="BodyText"/>
        <w:rPr>
          <w:i/>
          <w:szCs w:val="18"/>
          <w:u w:val="single"/>
        </w:rPr>
      </w:pPr>
      <w:r>
        <w:rPr>
          <w:i/>
          <w:szCs w:val="18"/>
          <w:u w:val="single"/>
        </w:rPr>
        <w:t>(</w:t>
      </w:r>
      <w:r w:rsidR="00C17A50">
        <w:rPr>
          <w:i/>
          <w:szCs w:val="18"/>
          <w:u w:val="single"/>
        </w:rPr>
        <w:t>Der Inhalt, die Anzahl der Zeilen und Spalten in der Tabelle dürfen nicht geändert werden. Diese Information ist zu</w:t>
      </w:r>
      <w:r w:rsidR="00E62FDA">
        <w:rPr>
          <w:i/>
          <w:szCs w:val="18"/>
          <w:u w:val="single"/>
        </w:rPr>
        <w:t xml:space="preserve"> löschen.</w:t>
      </w:r>
      <w:r>
        <w:rPr>
          <w:i/>
          <w:szCs w:val="18"/>
          <w:u w:val="single"/>
        </w:rPr>
        <w:t>)</w:t>
      </w:r>
    </w:p>
    <w:p w:rsidR="00E62FDA" w:rsidRDefault="00E62FDA" w:rsidP="00E62FDA">
      <w:pPr>
        <w:pStyle w:val="BodyText"/>
      </w:pPr>
    </w:p>
    <w:bookmarkStart w:id="39" w:name="_MON_1406027677"/>
    <w:bookmarkEnd w:id="39"/>
    <w:p w:rsidR="00E62FDA" w:rsidRPr="009246E5" w:rsidRDefault="002D35EC" w:rsidP="00E62FDA">
      <w:pPr>
        <w:pStyle w:val="Heading2"/>
        <w:numPr>
          <w:ilvl w:val="0"/>
          <w:numId w:val="0"/>
        </w:numPr>
        <w:ind w:firstLine="450"/>
        <w:rPr>
          <w:lang w:val="de-DE"/>
        </w:rPr>
      </w:pPr>
      <w:r>
        <w:object w:dxaOrig="9907" w:dyaOrig="2354">
          <v:shape id="_x0000_i1047" type="#_x0000_t75" style="width:438pt;height:116.25pt" o:ole="" o:preferrelative="f">
            <v:imagedata r:id="rId65" o:title=""/>
            <o:lock v:ext="edit" aspectratio="f"/>
          </v:shape>
          <o:OLEObject Type="Embed" ProgID="Excel.Sheet.12" ShapeID="_x0000_i1047" DrawAspect="Content" ObjectID="_1448991403" r:id="rId66"/>
        </w:object>
      </w:r>
    </w:p>
    <w:p w:rsidR="00E62FDA" w:rsidRDefault="00E62FDA" w:rsidP="00E62FDA">
      <w:pPr>
        <w:pStyle w:val="Heading2"/>
        <w:numPr>
          <w:ilvl w:val="0"/>
          <w:numId w:val="0"/>
        </w:numPr>
        <w:ind w:left="360"/>
        <w:rPr>
          <w:b w:val="0"/>
        </w:rPr>
      </w:pPr>
    </w:p>
    <w:p w:rsidR="00E62FDA" w:rsidRPr="00CA1B1A" w:rsidRDefault="008C782B" w:rsidP="00E62FDA">
      <w:pPr>
        <w:pStyle w:val="BodyText"/>
      </w:pPr>
      <w:r w:rsidRPr="008C782B">
        <w:t>Die Forderungen aus de</w:t>
      </w:r>
      <w:r w:rsidR="00A657A4">
        <w:t>m</w:t>
      </w:r>
      <w:r w:rsidRPr="008C782B">
        <w:t xml:space="preserve"> Finanzierungs</w:t>
      </w:r>
      <w:r w:rsidR="00374E79">
        <w:t>leasing</w:t>
      </w:r>
      <w:r w:rsidRPr="008C782B">
        <w:t xml:space="preserve"> werden durch Pfandrecht zum Gegenstand der Vermietung bis zur Höhe von EUR xxx gedeckt.  </w:t>
      </w:r>
    </w:p>
    <w:p w:rsidR="00304CDA" w:rsidRPr="00CA1B1A" w:rsidRDefault="00304CDA" w:rsidP="00E62FDA">
      <w:pPr>
        <w:pStyle w:val="BodyText"/>
        <w:rPr>
          <w:szCs w:val="18"/>
        </w:rPr>
      </w:pPr>
    </w:p>
    <w:p w:rsidR="00E62FDA" w:rsidRPr="00D91A08" w:rsidRDefault="00252994" w:rsidP="00E62FDA">
      <w:pPr>
        <w:pStyle w:val="BodyText"/>
        <w:rPr>
          <w:i/>
          <w:szCs w:val="18"/>
          <w:u w:val="single"/>
        </w:rPr>
      </w:pPr>
      <w:r>
        <w:rPr>
          <w:i/>
          <w:szCs w:val="18"/>
          <w:u w:val="single"/>
        </w:rPr>
        <w:t>(</w:t>
      </w:r>
      <w:r w:rsidR="00C17A50">
        <w:rPr>
          <w:i/>
          <w:szCs w:val="18"/>
          <w:u w:val="single"/>
        </w:rPr>
        <w:t>Die Gesellschaften, die Vermögensgegenstände in Form der Finanzierungs</w:t>
      </w:r>
      <w:r w:rsidR="00374E79">
        <w:rPr>
          <w:i/>
          <w:szCs w:val="18"/>
          <w:u w:val="single"/>
        </w:rPr>
        <w:t>leasing</w:t>
      </w:r>
      <w:r w:rsidR="00C17A50">
        <w:rPr>
          <w:i/>
          <w:szCs w:val="18"/>
          <w:u w:val="single"/>
        </w:rPr>
        <w:t xml:space="preserve"> vermieten, haben die Angabe über die Deckung der Forderung mit dem Mietgegenstand auch im Rahmen der o.g. Tabelle über Pfandrechte anzugeben</w:t>
      </w:r>
      <w:r>
        <w:rPr>
          <w:i/>
          <w:szCs w:val="18"/>
          <w:u w:val="single"/>
        </w:rPr>
        <w:t>)</w:t>
      </w:r>
      <w:r w:rsidR="00C17A50">
        <w:rPr>
          <w:i/>
          <w:szCs w:val="18"/>
          <w:u w:val="single"/>
        </w:rPr>
        <w:t>.</w:t>
      </w:r>
    </w:p>
    <w:p w:rsidR="00E62FDA" w:rsidRPr="00270DBD" w:rsidRDefault="00E62FDA" w:rsidP="00E62FDA">
      <w:pPr>
        <w:pStyle w:val="BodyText"/>
        <w:rPr>
          <w:b/>
          <w:szCs w:val="18"/>
        </w:rPr>
      </w:pPr>
    </w:p>
    <w:p w:rsidR="001814FE" w:rsidRPr="00270DBD" w:rsidRDefault="001814FE" w:rsidP="00142DDE">
      <w:pPr>
        <w:pStyle w:val="BodyText"/>
        <w:rPr>
          <w:szCs w:val="18"/>
        </w:rPr>
      </w:pPr>
    </w:p>
    <w:p w:rsidR="00E62FDA" w:rsidRPr="00270DBD" w:rsidRDefault="00E62FDA" w:rsidP="00142DDE">
      <w:pPr>
        <w:pStyle w:val="BodyText"/>
        <w:rPr>
          <w:szCs w:val="18"/>
        </w:rPr>
      </w:pPr>
    </w:p>
    <w:p w:rsidR="00304CDA" w:rsidRPr="00270DBD" w:rsidRDefault="008C782B">
      <w:pPr>
        <w:spacing w:after="200" w:line="276" w:lineRule="auto"/>
        <w:rPr>
          <w:b/>
          <w:sz w:val="18"/>
          <w:szCs w:val="18"/>
          <w:lang w:val="de-DE"/>
        </w:rPr>
      </w:pPr>
      <w:bookmarkStart w:id="40" w:name="_Toc530739905"/>
      <w:r w:rsidRPr="008C782B">
        <w:rPr>
          <w:sz w:val="18"/>
          <w:szCs w:val="18"/>
          <w:lang w:val="de-DE"/>
        </w:rPr>
        <w:br w:type="page"/>
      </w:r>
    </w:p>
    <w:p w:rsidR="00142DDE" w:rsidRPr="00CE7177" w:rsidRDefault="00142DDE" w:rsidP="00142DDE">
      <w:pPr>
        <w:pStyle w:val="Heading2"/>
        <w:rPr>
          <w:lang w:val="de-DE"/>
        </w:rPr>
      </w:pPr>
      <w:r w:rsidRPr="00CE7177">
        <w:rPr>
          <w:lang w:val="de-DE"/>
        </w:rPr>
        <w:lastRenderedPageBreak/>
        <w:t>Finan</w:t>
      </w:r>
      <w:bookmarkEnd w:id="40"/>
      <w:r w:rsidRPr="00CE7177">
        <w:rPr>
          <w:lang w:val="de-DE"/>
        </w:rPr>
        <w:t>zkonten</w:t>
      </w:r>
    </w:p>
    <w:p w:rsidR="00142DDE" w:rsidRPr="00CE7177" w:rsidRDefault="00142DDE" w:rsidP="00142DDE">
      <w:pPr>
        <w:pStyle w:val="BodyText"/>
        <w:rPr>
          <w:lang w:val="de-DE"/>
        </w:rPr>
      </w:pPr>
    </w:p>
    <w:p w:rsidR="00142DDE" w:rsidRDefault="00142DDE" w:rsidP="00142DDE">
      <w:pPr>
        <w:pStyle w:val="BodyText"/>
        <w:rPr>
          <w:lang w:val="de-DE"/>
        </w:rPr>
      </w:pPr>
      <w:r w:rsidRPr="00CE7177">
        <w:rPr>
          <w:lang w:val="de-DE"/>
        </w:rPr>
        <w:t xml:space="preserve">Als Finanzkonten werden Kassenbestände, Bankguthaben und Wertpapiere ausgewiesen. Über die Bankguthaben kann die Gesellschaft frei disponieren, </w:t>
      </w:r>
      <w:r>
        <w:rPr>
          <w:lang w:val="de-DE"/>
        </w:rPr>
        <w:t>mit Ausnahme der</w:t>
      </w:r>
      <w:r w:rsidRPr="00CE7177">
        <w:rPr>
          <w:lang w:val="de-DE"/>
        </w:rPr>
        <w:t xml:space="preserve"> Termineinlage i.H.v. </w:t>
      </w:r>
      <w:r w:rsidRPr="009D33FD">
        <w:rPr>
          <w:lang w:val="de-DE"/>
        </w:rPr>
        <w:t>of EUR 332</w:t>
      </w:r>
      <w:r>
        <w:rPr>
          <w:lang w:val="de-DE"/>
        </w:rPr>
        <w:t xml:space="preserve"> </w:t>
      </w:r>
      <w:r w:rsidRPr="009D33FD">
        <w:rPr>
          <w:lang w:val="de-DE"/>
        </w:rPr>
        <w:t>000</w:t>
      </w:r>
      <w:r w:rsidRPr="00CE7177">
        <w:rPr>
          <w:lang w:val="de-DE"/>
        </w:rPr>
        <w:t>, über welche si</w:t>
      </w:r>
      <w:r>
        <w:rPr>
          <w:lang w:val="de-DE"/>
        </w:rPr>
        <w:t xml:space="preserve">e erst ab dem 15. März </w:t>
      </w:r>
      <w:r w:rsidR="007F544E">
        <w:rPr>
          <w:lang w:val="de-DE"/>
        </w:rPr>
        <w:t>201</w:t>
      </w:r>
      <w:r w:rsidR="002D35EC">
        <w:rPr>
          <w:lang w:val="de-DE"/>
        </w:rPr>
        <w:t>4</w:t>
      </w:r>
      <w:r w:rsidR="007F544E" w:rsidRPr="00CE7177">
        <w:rPr>
          <w:lang w:val="de-DE"/>
        </w:rPr>
        <w:t xml:space="preserve"> </w:t>
      </w:r>
      <w:r w:rsidRPr="00CE7177">
        <w:rPr>
          <w:lang w:val="de-DE"/>
        </w:rPr>
        <w:t>verfügen kann.</w:t>
      </w:r>
    </w:p>
    <w:p w:rsidR="00585B18" w:rsidRDefault="00585B18" w:rsidP="00142DDE">
      <w:pPr>
        <w:pStyle w:val="BodyText"/>
        <w:rPr>
          <w:lang w:val="de-DE"/>
        </w:rPr>
      </w:pPr>
    </w:p>
    <w:p w:rsidR="00585B18" w:rsidRDefault="00687C63" w:rsidP="00585B18">
      <w:pPr>
        <w:pStyle w:val="BodyText"/>
        <w:rPr>
          <w:lang w:val="de-DE"/>
        </w:rPr>
      </w:pPr>
      <w:r w:rsidRPr="00687C63">
        <w:rPr>
          <w:lang w:val="de-DE"/>
        </w:rPr>
        <w:t>Übersicht der einzelnen Posten der Finanzkonten:</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E62FDA" w:rsidRPr="00EF663B" w:rsidRDefault="00E62FDA" w:rsidP="00585B18">
      <w:pPr>
        <w:pStyle w:val="BodyText"/>
        <w:rPr>
          <w:lang w:val="de-DE"/>
        </w:rPr>
      </w:pPr>
    </w:p>
    <w:bookmarkStart w:id="41" w:name="_MON_1410440884"/>
    <w:bookmarkEnd w:id="41"/>
    <w:p w:rsidR="00142DDE" w:rsidRDefault="00F108FC" w:rsidP="00142DDE">
      <w:pPr>
        <w:pStyle w:val="BodyText"/>
      </w:pPr>
      <w:r w:rsidRPr="00003C63">
        <w:object w:dxaOrig="9007" w:dyaOrig="1889">
          <v:shape id="_x0000_i1082" type="#_x0000_t75" style="width:435.75pt;height:102.75pt" o:ole="" o:preferrelative="f">
            <v:imagedata r:id="rId67" o:title=""/>
            <o:lock v:ext="edit" aspectratio="f"/>
          </v:shape>
          <o:OLEObject Type="Embed" ProgID="Excel.Sheet.12" ShapeID="_x0000_i1082" DrawAspect="Content" ObjectID="_1448991404" r:id="rId68"/>
        </w:object>
      </w:r>
    </w:p>
    <w:p w:rsidR="001814FE" w:rsidRPr="00CE7177" w:rsidRDefault="001814FE" w:rsidP="00142DDE">
      <w:pPr>
        <w:pStyle w:val="BodyText"/>
        <w:rPr>
          <w:lang w:val="de-DE"/>
        </w:rPr>
      </w:pPr>
    </w:p>
    <w:p w:rsidR="00142DDE" w:rsidRPr="00CE7177" w:rsidRDefault="00142DDE" w:rsidP="00142DDE">
      <w:pPr>
        <w:pStyle w:val="Heading2"/>
        <w:rPr>
          <w:lang w:val="de-DE"/>
        </w:rPr>
      </w:pPr>
      <w:r w:rsidRPr="00CE7177">
        <w:rPr>
          <w:lang w:val="de-DE"/>
        </w:rPr>
        <w:t xml:space="preserve">Kurzfristiges Finanzvermögen </w:t>
      </w:r>
    </w:p>
    <w:p w:rsidR="00142DDE" w:rsidRPr="004E1874" w:rsidRDefault="00142DDE" w:rsidP="00142DDE">
      <w:pPr>
        <w:pStyle w:val="BodyText"/>
        <w:rPr>
          <w:lang w:val="de-DE"/>
        </w:rPr>
      </w:pPr>
    </w:p>
    <w:p w:rsidR="00E62FDA" w:rsidRDefault="00142DDE" w:rsidP="00142DDE">
      <w:pPr>
        <w:pStyle w:val="BodyText"/>
        <w:rPr>
          <w:lang w:val="de-DE"/>
        </w:rPr>
      </w:pPr>
      <w:r w:rsidRPr="004E1874">
        <w:rPr>
          <w:lang w:val="de-DE"/>
        </w:rPr>
        <w:t xml:space="preserve">Als kurzfristiges Finanzvermögen werden Aktien in verschiedenen Gesellschaften </w:t>
      </w:r>
      <w:r>
        <w:rPr>
          <w:lang w:val="de-DE"/>
        </w:rPr>
        <w:t xml:space="preserve">und Emissionsquoten </w:t>
      </w:r>
      <w:r w:rsidRPr="004E1874">
        <w:rPr>
          <w:lang w:val="de-DE"/>
        </w:rPr>
        <w:t>ausgewiesen</w:t>
      </w:r>
      <w:r w:rsidR="00E62FDA">
        <w:rPr>
          <w:lang w:val="de-DE"/>
        </w:rPr>
        <w:t>:</w:t>
      </w:r>
    </w:p>
    <w:p w:rsidR="00E62FDA" w:rsidRDefault="00252994" w:rsidP="00E62FDA">
      <w:pPr>
        <w:pStyle w:val="BodyText"/>
        <w:rPr>
          <w:i/>
          <w:szCs w:val="18"/>
          <w:u w:val="single"/>
        </w:rPr>
      </w:pPr>
      <w:r>
        <w:rPr>
          <w:i/>
          <w:szCs w:val="18"/>
          <w:u w:val="single"/>
        </w:rPr>
        <w:t>(</w:t>
      </w:r>
      <w:r w:rsidR="00E62FDA">
        <w:rPr>
          <w:i/>
          <w:szCs w:val="18"/>
          <w:u w:val="single"/>
        </w:rPr>
        <w:t>Der Inhalt, die Anzahl der Zeilen und Spalten in der Tabelle dürfen nicht geändert werden. Diese Information ist zu löschen.</w:t>
      </w:r>
      <w:r>
        <w:rPr>
          <w:i/>
          <w:szCs w:val="18"/>
          <w:u w:val="single"/>
        </w:rPr>
        <w:t>)</w:t>
      </w:r>
    </w:p>
    <w:p w:rsidR="00142DDE" w:rsidRDefault="00142DDE" w:rsidP="00142DDE">
      <w:pPr>
        <w:pStyle w:val="BodyText"/>
        <w:rPr>
          <w:lang w:val="de-DE"/>
        </w:rPr>
      </w:pPr>
      <w:r w:rsidRPr="004E1874">
        <w:rPr>
          <w:lang w:val="de-DE"/>
        </w:rPr>
        <w:t xml:space="preserve"> </w:t>
      </w:r>
    </w:p>
    <w:p w:rsidR="00142DDE" w:rsidRDefault="00142DDE" w:rsidP="00142DDE">
      <w:pPr>
        <w:pStyle w:val="BodyText"/>
        <w:rPr>
          <w:lang w:val="de-DE"/>
        </w:rPr>
      </w:pPr>
    </w:p>
    <w:bookmarkStart w:id="42" w:name="_MON_1410440925"/>
    <w:bookmarkEnd w:id="42"/>
    <w:p w:rsidR="00687C63" w:rsidRDefault="00F108FC" w:rsidP="00687C63">
      <w:pPr>
        <w:pStyle w:val="BodyText"/>
        <w:rPr>
          <w:b/>
          <w:lang w:val="de-DE"/>
        </w:rPr>
      </w:pPr>
      <w:r w:rsidRPr="004208DB">
        <w:object w:dxaOrig="8935" w:dyaOrig="4206">
          <v:shape id="_x0000_i1083" type="#_x0000_t75" style="width:432.75pt;height:228pt" o:ole="" o:preferrelative="f">
            <v:imagedata r:id="rId69" o:title=""/>
            <o:lock v:ext="edit" aspectratio="f"/>
          </v:shape>
          <o:OLEObject Type="Embed" ProgID="Excel.Sheet.12" ShapeID="_x0000_i1083" DrawAspect="Content" ObjectID="_1448991405" r:id="rId70"/>
        </w:object>
      </w:r>
    </w:p>
    <w:p w:rsidR="00027877" w:rsidRDefault="00027877" w:rsidP="00027877">
      <w:pPr>
        <w:spacing w:after="200" w:line="276" w:lineRule="auto"/>
        <w:ind w:left="426"/>
        <w:rPr>
          <w:i/>
          <w:sz w:val="18"/>
          <w:szCs w:val="18"/>
          <w:highlight w:val="green"/>
        </w:rPr>
      </w:pPr>
    </w:p>
    <w:p w:rsidR="00027877" w:rsidRDefault="008C782B" w:rsidP="00027877">
      <w:pPr>
        <w:spacing w:after="200" w:line="276" w:lineRule="auto"/>
        <w:ind w:left="426"/>
        <w:rPr>
          <w:i/>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E62FDA" w:rsidRPr="00CA1B1A" w:rsidRDefault="00E62FDA" w:rsidP="00E62FDA">
      <w:pPr>
        <w:ind w:left="426"/>
        <w:jc w:val="both"/>
        <w:rPr>
          <w:sz w:val="18"/>
          <w:szCs w:val="18"/>
        </w:rPr>
      </w:pPr>
    </w:p>
    <w:p w:rsidR="00542886" w:rsidRDefault="00542886" w:rsidP="00E62FDA">
      <w:pPr>
        <w:ind w:left="426"/>
        <w:rPr>
          <w:sz w:val="18"/>
          <w:szCs w:val="18"/>
        </w:rPr>
      </w:pPr>
    </w:p>
    <w:p w:rsidR="00542886" w:rsidRDefault="00542886" w:rsidP="00E62FDA">
      <w:pPr>
        <w:ind w:left="426"/>
        <w:rPr>
          <w:sz w:val="18"/>
          <w:szCs w:val="18"/>
        </w:rPr>
      </w:pPr>
    </w:p>
    <w:p w:rsidR="00542886" w:rsidRDefault="00542886" w:rsidP="00E62FDA">
      <w:pPr>
        <w:ind w:left="426"/>
        <w:rPr>
          <w:sz w:val="18"/>
          <w:szCs w:val="18"/>
        </w:rPr>
      </w:pPr>
    </w:p>
    <w:p w:rsidR="00542886" w:rsidRDefault="00542886" w:rsidP="00E62FDA">
      <w:pPr>
        <w:ind w:left="426"/>
        <w:rPr>
          <w:sz w:val="18"/>
          <w:szCs w:val="18"/>
        </w:rPr>
      </w:pPr>
    </w:p>
    <w:p w:rsidR="00542886" w:rsidRDefault="00542886" w:rsidP="00E62FDA">
      <w:pPr>
        <w:ind w:left="426"/>
        <w:rPr>
          <w:sz w:val="18"/>
          <w:szCs w:val="18"/>
        </w:rPr>
      </w:pPr>
    </w:p>
    <w:p w:rsidR="00542886" w:rsidRDefault="00542886" w:rsidP="00E62FDA">
      <w:pPr>
        <w:ind w:left="426"/>
        <w:rPr>
          <w:sz w:val="18"/>
          <w:szCs w:val="18"/>
        </w:rPr>
      </w:pPr>
    </w:p>
    <w:p w:rsidR="00542886" w:rsidRDefault="00542886" w:rsidP="00E62FDA">
      <w:pPr>
        <w:ind w:left="426"/>
        <w:rPr>
          <w:sz w:val="18"/>
          <w:szCs w:val="18"/>
        </w:rPr>
      </w:pPr>
    </w:p>
    <w:p w:rsidR="00E62FDA" w:rsidRPr="00304CDA" w:rsidRDefault="008C782B" w:rsidP="00E62FDA">
      <w:pPr>
        <w:ind w:left="426"/>
        <w:rPr>
          <w:sz w:val="18"/>
          <w:szCs w:val="18"/>
        </w:rPr>
      </w:pPr>
      <w:r w:rsidRPr="008C782B">
        <w:rPr>
          <w:sz w:val="18"/>
          <w:szCs w:val="18"/>
        </w:rPr>
        <w:lastRenderedPageBreak/>
        <w:t>Die Entwicklung der Wertberichtigung zum kurzfristigen Finanzvermögen:</w:t>
      </w:r>
    </w:p>
    <w:p w:rsidR="00141ADE" w:rsidRDefault="00252994" w:rsidP="00141ADE">
      <w:pPr>
        <w:pStyle w:val="BodyText"/>
        <w:rPr>
          <w:i/>
          <w:szCs w:val="18"/>
          <w:u w:val="single"/>
        </w:rPr>
      </w:pPr>
      <w:r>
        <w:rPr>
          <w:i/>
          <w:szCs w:val="18"/>
          <w:u w:val="single"/>
        </w:rPr>
        <w:t>(</w:t>
      </w:r>
      <w:r w:rsidR="00141ADE" w:rsidRPr="00304CDA">
        <w:rPr>
          <w:i/>
          <w:szCs w:val="18"/>
          <w:u w:val="single"/>
        </w:rPr>
        <w:t>Der Inhalt, die Anzahl der Zeilen und Spalten in der Tabelle dürfen nicht geändert werden. Diese Information ist zu löschen.</w:t>
      </w:r>
      <w:r>
        <w:rPr>
          <w:i/>
          <w:szCs w:val="18"/>
          <w:u w:val="single"/>
        </w:rPr>
        <w:t>)</w:t>
      </w:r>
    </w:p>
    <w:p w:rsidR="00304CDA" w:rsidRPr="00304CDA" w:rsidRDefault="00304CDA" w:rsidP="00141ADE">
      <w:pPr>
        <w:pStyle w:val="BodyText"/>
        <w:rPr>
          <w:i/>
          <w:szCs w:val="18"/>
          <w:u w:val="single"/>
        </w:rPr>
      </w:pPr>
    </w:p>
    <w:bookmarkStart w:id="43" w:name="_MON_1405945506"/>
    <w:bookmarkEnd w:id="43"/>
    <w:p w:rsidR="00141ADE" w:rsidRDefault="001F2342" w:rsidP="00304CDA">
      <w:pPr>
        <w:spacing w:after="200" w:line="276" w:lineRule="auto"/>
        <w:ind w:left="426"/>
        <w:rPr>
          <w:lang w:val="de-DE"/>
        </w:rPr>
      </w:pPr>
      <w:r>
        <w:object w:dxaOrig="8983" w:dyaOrig="3983">
          <v:shape id="_x0000_i1048" type="#_x0000_t75" style="width:438pt;height:215.25pt" o:ole="" o:preferrelative="f">
            <v:imagedata r:id="rId71" o:title=""/>
            <o:lock v:ext="edit" aspectratio="f"/>
          </v:shape>
          <o:OLEObject Type="Embed" ProgID="Excel.Sheet.12" ShapeID="_x0000_i1048" DrawAspect="Content" ObjectID="_1448991406" r:id="rId72"/>
        </w:object>
      </w:r>
    </w:p>
    <w:p w:rsidR="00141ADE" w:rsidRPr="00365CE5" w:rsidRDefault="008C782B" w:rsidP="00304CDA">
      <w:pPr>
        <w:spacing w:after="200" w:line="276" w:lineRule="auto"/>
        <w:ind w:left="426"/>
        <w:jc w:val="both"/>
        <w:rPr>
          <w:i/>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141ADE" w:rsidRPr="00270DBD" w:rsidRDefault="00141ADE" w:rsidP="00141ADE">
      <w:pPr>
        <w:ind w:left="426"/>
        <w:rPr>
          <w:sz w:val="18"/>
          <w:szCs w:val="18"/>
        </w:rPr>
      </w:pPr>
    </w:p>
    <w:p w:rsidR="00141ADE" w:rsidRPr="00304CDA" w:rsidRDefault="008C782B" w:rsidP="00E7678A">
      <w:pPr>
        <w:ind w:left="426"/>
        <w:jc w:val="both"/>
        <w:rPr>
          <w:sz w:val="18"/>
          <w:szCs w:val="18"/>
        </w:rPr>
      </w:pPr>
      <w:r w:rsidRPr="008C782B">
        <w:rPr>
          <w:sz w:val="18"/>
          <w:szCs w:val="18"/>
        </w:rPr>
        <w:t xml:space="preserve">Informationen über das kurzfristige Finanzvermögen, </w:t>
      </w:r>
      <w:r w:rsidR="00141ADE" w:rsidRPr="00304CDA">
        <w:rPr>
          <w:color w:val="000000"/>
          <w:sz w:val="18"/>
          <w:szCs w:val="18"/>
          <w:lang w:eastAsia="sk-SK"/>
        </w:rPr>
        <w:t>an welchem ein Pfandrecht eingeräumt wurde</w:t>
      </w:r>
      <w:r w:rsidRPr="008C782B">
        <w:rPr>
          <w:sz w:val="18"/>
          <w:szCs w:val="18"/>
        </w:rPr>
        <w:t xml:space="preserve"> und </w:t>
      </w:r>
      <w:r w:rsidR="00141ADE" w:rsidRPr="00304CDA">
        <w:rPr>
          <w:color w:val="000000"/>
          <w:sz w:val="18"/>
          <w:szCs w:val="18"/>
          <w:lang w:eastAsia="sk-SK"/>
        </w:rPr>
        <w:t>bei welchem die Buchführungseinheit beschränkte Verfügungsrechte hat</w:t>
      </w:r>
      <w:r w:rsidRPr="008C782B">
        <w:rPr>
          <w:sz w:val="18"/>
          <w:szCs w:val="18"/>
        </w:rPr>
        <w:t>:</w:t>
      </w:r>
    </w:p>
    <w:p w:rsidR="00141ADE" w:rsidRPr="00304CDA" w:rsidRDefault="00252994" w:rsidP="00141ADE">
      <w:pPr>
        <w:pStyle w:val="BodyText"/>
        <w:rPr>
          <w:i/>
          <w:szCs w:val="18"/>
          <w:u w:val="single"/>
        </w:rPr>
      </w:pPr>
      <w:r>
        <w:rPr>
          <w:i/>
          <w:szCs w:val="18"/>
          <w:u w:val="single"/>
        </w:rPr>
        <w:t>(</w:t>
      </w:r>
      <w:r w:rsidR="00141ADE" w:rsidRPr="00304CDA">
        <w:rPr>
          <w:i/>
          <w:szCs w:val="18"/>
          <w:u w:val="single"/>
        </w:rPr>
        <w:t>Der Inhalt, die Anzahl der Zeilen und Spalten in der Tabelle dürfen nicht geändert werden. Diese Information ist zu löschen.</w:t>
      </w:r>
      <w:r>
        <w:rPr>
          <w:i/>
          <w:szCs w:val="18"/>
          <w:u w:val="single"/>
        </w:rPr>
        <w:t>)</w:t>
      </w:r>
    </w:p>
    <w:p w:rsidR="00141ADE" w:rsidRPr="00304CDA" w:rsidRDefault="00141ADE" w:rsidP="00141ADE">
      <w:pPr>
        <w:ind w:left="426"/>
        <w:rPr>
          <w:sz w:val="18"/>
          <w:szCs w:val="18"/>
        </w:rPr>
      </w:pPr>
    </w:p>
    <w:p w:rsidR="00141ADE" w:rsidRPr="00270DBD" w:rsidRDefault="00141ADE" w:rsidP="00141ADE">
      <w:pPr>
        <w:ind w:left="426"/>
        <w:rPr>
          <w:sz w:val="18"/>
          <w:szCs w:val="18"/>
        </w:rPr>
      </w:pPr>
    </w:p>
    <w:bookmarkStart w:id="44" w:name="_MON_1405946221"/>
    <w:bookmarkEnd w:id="44"/>
    <w:p w:rsidR="00141ADE" w:rsidRDefault="003203F3" w:rsidP="00141ADE">
      <w:pPr>
        <w:spacing w:after="200" w:line="276" w:lineRule="auto"/>
        <w:ind w:left="426"/>
      </w:pPr>
      <w:r w:rsidRPr="0078754C">
        <w:object w:dxaOrig="8858" w:dyaOrig="1187">
          <v:shape id="_x0000_i1049" type="#_x0000_t75" style="width:437.25pt;height:66pt" o:ole="" o:preferrelative="f">
            <v:imagedata r:id="rId73" o:title=""/>
            <o:lock v:ext="edit" aspectratio="f"/>
          </v:shape>
          <o:OLEObject Type="Embed" ProgID="Excel.Sheet.12" ShapeID="_x0000_i1049" DrawAspect="Content" ObjectID="_1448991407" r:id="rId74"/>
        </w:object>
      </w:r>
    </w:p>
    <w:p w:rsidR="001F2342" w:rsidRDefault="001F2342" w:rsidP="001F2342">
      <w:pPr>
        <w:pStyle w:val="BodyText"/>
      </w:pPr>
      <w:r w:rsidRPr="008C782B">
        <w:rPr>
          <w:i/>
          <w:szCs w:val="18"/>
        </w:rPr>
        <w:t xml:space="preserve">Wenn die Buchführungseinheit einen Inhalt für sie hat, hat sie in dieser die erforderlichen Informationen anzugeben. </w:t>
      </w:r>
      <w:r>
        <w:rPr>
          <w:i/>
          <w:szCs w:val="18"/>
        </w:rPr>
        <w:t>Andernfalls</w:t>
      </w:r>
      <w:r w:rsidRPr="008C782B">
        <w:rPr>
          <w:i/>
          <w:szCs w:val="18"/>
        </w:rPr>
        <w:t xml:space="preserve"> ist sie inklusive dieser Information zu löschen</w:t>
      </w:r>
      <w:r>
        <w:t xml:space="preserve"> .</w:t>
      </w:r>
    </w:p>
    <w:p w:rsidR="001F2342" w:rsidRDefault="001F2342" w:rsidP="001F2342">
      <w:pPr>
        <w:pStyle w:val="BodyText"/>
      </w:pPr>
    </w:p>
    <w:p w:rsidR="001F2342" w:rsidRDefault="009B2B9E" w:rsidP="001F2342">
      <w:pPr>
        <w:pStyle w:val="BodyText"/>
        <w:rPr>
          <w:lang w:val="de-DE"/>
        </w:rPr>
      </w:pPr>
      <w:r w:rsidRPr="00542886">
        <w:rPr>
          <w:szCs w:val="18"/>
        </w:rPr>
        <w:t xml:space="preserve">Wert des kurzfristigen Finanzvermögens, </w:t>
      </w:r>
      <w:r w:rsidRPr="00542886">
        <w:rPr>
          <w:szCs w:val="18"/>
          <w:lang w:val="de-DE"/>
        </w:rPr>
        <w:t>bei welchen die Buchführungseinheit beschr</w:t>
      </w:r>
      <w:r w:rsidRPr="00542886">
        <w:rPr>
          <w:szCs w:val="18"/>
        </w:rPr>
        <w:t>ä</w:t>
      </w:r>
      <w:r w:rsidR="00027877" w:rsidRPr="00542886">
        <w:rPr>
          <w:szCs w:val="18"/>
          <w:lang w:val="de-DE"/>
        </w:rPr>
        <w:t>nkte Verf</w:t>
      </w:r>
      <w:r w:rsidRPr="00542886">
        <w:rPr>
          <w:szCs w:val="18"/>
          <w:lang w:val="de-DE"/>
        </w:rPr>
        <w:t xml:space="preserve">ügungsrechte hat, beträgt EUR xxx und </w:t>
      </w:r>
      <w:r w:rsidR="00CA395C" w:rsidRPr="00542886">
        <w:rPr>
          <w:szCs w:val="18"/>
          <w:lang w:val="de-DE"/>
        </w:rPr>
        <w:t xml:space="preserve">es handelt sich um </w:t>
      </w:r>
      <w:r w:rsidRPr="00542886">
        <w:rPr>
          <w:szCs w:val="18"/>
          <w:lang w:val="de-DE"/>
        </w:rPr>
        <w:t xml:space="preserve"> das folgende kurzfristige </w:t>
      </w:r>
      <w:r w:rsidR="00027877" w:rsidRPr="00542886">
        <w:rPr>
          <w:szCs w:val="18"/>
        </w:rPr>
        <w:t>Finanzvermögen</w:t>
      </w:r>
      <w:r w:rsidR="00CA395C" w:rsidRPr="00542886">
        <w:rPr>
          <w:szCs w:val="18"/>
          <w:lang w:val="de-DE"/>
        </w:rPr>
        <w:t xml:space="preserve">: </w:t>
      </w:r>
    </w:p>
    <w:p w:rsidR="00027877" w:rsidRDefault="00027877" w:rsidP="00027877">
      <w:pPr>
        <w:spacing w:after="200" w:line="276" w:lineRule="auto"/>
        <w:ind w:left="426"/>
        <w:rPr>
          <w:i/>
          <w:sz w:val="18"/>
          <w:szCs w:val="18"/>
          <w:highlight w:val="green"/>
        </w:rPr>
      </w:pPr>
    </w:p>
    <w:p w:rsidR="00027877" w:rsidRDefault="00027877" w:rsidP="00027877">
      <w:pPr>
        <w:spacing w:after="200" w:line="276" w:lineRule="auto"/>
        <w:ind w:left="426"/>
        <w:rPr>
          <w:i/>
          <w:sz w:val="18"/>
          <w:szCs w:val="18"/>
          <w:highlight w:val="green"/>
        </w:rPr>
      </w:pPr>
    </w:p>
    <w:p w:rsidR="00027877" w:rsidRDefault="00027877" w:rsidP="00027877">
      <w:pPr>
        <w:spacing w:after="200" w:line="276" w:lineRule="auto"/>
        <w:ind w:left="426"/>
        <w:rPr>
          <w:i/>
          <w:sz w:val="18"/>
          <w:szCs w:val="18"/>
          <w:highlight w:val="green"/>
        </w:rPr>
      </w:pPr>
    </w:p>
    <w:p w:rsidR="00027877" w:rsidRDefault="00027877" w:rsidP="00027877">
      <w:pPr>
        <w:spacing w:after="200" w:line="276" w:lineRule="auto"/>
        <w:ind w:left="426"/>
        <w:rPr>
          <w:i/>
          <w:sz w:val="18"/>
          <w:szCs w:val="18"/>
          <w:highlight w:val="green"/>
        </w:rPr>
      </w:pPr>
    </w:p>
    <w:p w:rsidR="00027877" w:rsidRDefault="00027877" w:rsidP="00027877">
      <w:pPr>
        <w:spacing w:after="200" w:line="276" w:lineRule="auto"/>
        <w:ind w:left="426"/>
        <w:rPr>
          <w:i/>
          <w:sz w:val="18"/>
          <w:szCs w:val="18"/>
          <w:highlight w:val="green"/>
        </w:rPr>
      </w:pPr>
    </w:p>
    <w:p w:rsidR="00027877" w:rsidRDefault="00304CDA" w:rsidP="00027877">
      <w:pPr>
        <w:spacing w:after="200" w:line="276" w:lineRule="auto"/>
        <w:ind w:left="426"/>
        <w:rPr>
          <w:i/>
          <w:sz w:val="18"/>
          <w:szCs w:val="18"/>
          <w:highlight w:val="green"/>
        </w:rPr>
      </w:pPr>
      <w:r w:rsidRPr="00270DBD">
        <w:rPr>
          <w:i/>
          <w:sz w:val="18"/>
          <w:szCs w:val="18"/>
          <w:highlight w:val="green"/>
        </w:rPr>
        <w:br w:type="page"/>
      </w:r>
    </w:p>
    <w:p w:rsidR="00416E6E" w:rsidRPr="00CA1B1A" w:rsidRDefault="008C782B" w:rsidP="00304CDA">
      <w:pPr>
        <w:spacing w:after="200" w:line="276" w:lineRule="auto"/>
        <w:ind w:left="426"/>
        <w:jc w:val="both"/>
        <w:rPr>
          <w:i/>
          <w:sz w:val="18"/>
          <w:szCs w:val="18"/>
        </w:rPr>
      </w:pPr>
      <w:r w:rsidRPr="008C782B">
        <w:rPr>
          <w:i/>
          <w:sz w:val="18"/>
          <w:szCs w:val="18"/>
        </w:rPr>
        <w:lastRenderedPageBreak/>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141ADE" w:rsidRPr="00CA1B1A" w:rsidRDefault="00141ADE" w:rsidP="00141ADE">
      <w:pPr>
        <w:ind w:left="426"/>
        <w:jc w:val="both"/>
        <w:rPr>
          <w:sz w:val="18"/>
          <w:szCs w:val="18"/>
        </w:rPr>
      </w:pPr>
    </w:p>
    <w:p w:rsidR="00141ADE" w:rsidRPr="006F4BF4" w:rsidRDefault="008C782B" w:rsidP="00141ADE">
      <w:pPr>
        <w:ind w:left="426"/>
        <w:jc w:val="both"/>
        <w:rPr>
          <w:sz w:val="18"/>
          <w:szCs w:val="18"/>
        </w:rPr>
      </w:pPr>
      <w:r w:rsidRPr="008C782B">
        <w:rPr>
          <w:sz w:val="18"/>
          <w:szCs w:val="18"/>
        </w:rPr>
        <w:t>Informationen über die Bewertung des kurzfristigen Finanzvermögens zum Bilanzstichtag zum Realwert [fair value]:</w:t>
      </w:r>
    </w:p>
    <w:p w:rsidR="00416E6E" w:rsidRPr="006F4BF4" w:rsidRDefault="00252994" w:rsidP="00416E6E">
      <w:pPr>
        <w:pStyle w:val="BodyText"/>
        <w:rPr>
          <w:i/>
          <w:szCs w:val="18"/>
          <w:u w:val="single"/>
        </w:rPr>
      </w:pPr>
      <w:r>
        <w:rPr>
          <w:i/>
          <w:szCs w:val="18"/>
          <w:u w:val="single"/>
        </w:rPr>
        <w:t>(</w:t>
      </w:r>
      <w:r w:rsidR="00493241">
        <w:rPr>
          <w:i/>
          <w:szCs w:val="18"/>
          <w:u w:val="single"/>
        </w:rPr>
        <w:t>Der Inhalt, die Anzahl der Zeilen und Spalten in der Tabelle dürfen nicht geändert werden. Diese Information ist zu löschen.</w:t>
      </w:r>
      <w:r>
        <w:rPr>
          <w:i/>
          <w:szCs w:val="18"/>
          <w:u w:val="single"/>
        </w:rPr>
        <w:t>)</w:t>
      </w:r>
    </w:p>
    <w:p w:rsidR="00141ADE" w:rsidRPr="00270DBD" w:rsidRDefault="00141ADE" w:rsidP="00141ADE">
      <w:pPr>
        <w:ind w:left="426"/>
        <w:rPr>
          <w:sz w:val="18"/>
          <w:szCs w:val="18"/>
        </w:rPr>
      </w:pPr>
    </w:p>
    <w:bookmarkStart w:id="45" w:name="_MON_1405946524"/>
    <w:bookmarkEnd w:id="45"/>
    <w:p w:rsidR="008D7DB3" w:rsidRDefault="000B0825" w:rsidP="00304CDA">
      <w:pPr>
        <w:spacing w:after="200" w:line="276" w:lineRule="auto"/>
        <w:ind w:left="426"/>
        <w:rPr>
          <w:b/>
          <w:sz w:val="18"/>
          <w:lang w:val="de-DE"/>
        </w:rPr>
      </w:pPr>
      <w:r>
        <w:object w:dxaOrig="9035" w:dyaOrig="3513">
          <v:shape id="_x0000_i1050" type="#_x0000_t75" style="width:439.5pt;height:190.5pt" o:ole="" o:preferrelative="f">
            <v:imagedata r:id="rId75" o:title=""/>
            <o:lock v:ext="edit" aspectratio="f"/>
          </v:shape>
          <o:OLEObject Type="Embed" ProgID="Excel.Sheet.12" ShapeID="_x0000_i1050" DrawAspect="Content" ObjectID="_1448991408" r:id="rId76"/>
        </w:object>
      </w:r>
    </w:p>
    <w:p w:rsidR="00B12204" w:rsidRPr="004E1874" w:rsidRDefault="00B12204" w:rsidP="00B12204">
      <w:pPr>
        <w:pStyle w:val="Heading2"/>
        <w:rPr>
          <w:lang w:val="de-DE"/>
        </w:rPr>
      </w:pPr>
      <w:r w:rsidRPr="004E1874">
        <w:rPr>
          <w:lang w:val="de-DE"/>
        </w:rPr>
        <w:t>Zeitliche Abgrenzung</w:t>
      </w:r>
    </w:p>
    <w:p w:rsidR="00B12204" w:rsidRPr="004E1874" w:rsidRDefault="00B12204" w:rsidP="00B12204">
      <w:pPr>
        <w:pStyle w:val="BodyText"/>
        <w:rPr>
          <w:lang w:val="de-DE"/>
        </w:rPr>
      </w:pPr>
    </w:p>
    <w:p w:rsidR="00B12204" w:rsidRDefault="00B12204" w:rsidP="00B12204">
      <w:pPr>
        <w:pStyle w:val="BodyText"/>
        <w:rPr>
          <w:lang w:val="de-DE"/>
        </w:rPr>
      </w:pPr>
      <w:r w:rsidRPr="004E1874">
        <w:rPr>
          <w:lang w:val="de-DE"/>
        </w:rPr>
        <w:t xml:space="preserve">Es handelt sich </w:t>
      </w:r>
      <w:r>
        <w:rPr>
          <w:lang w:val="de-DE"/>
        </w:rPr>
        <w:t xml:space="preserve">dabei um </w:t>
      </w:r>
      <w:r w:rsidRPr="004E1874">
        <w:rPr>
          <w:lang w:val="de-DE"/>
        </w:rPr>
        <w:t xml:space="preserve">folgende Posten: </w:t>
      </w:r>
    </w:p>
    <w:p w:rsidR="00416E6E" w:rsidRDefault="00252994" w:rsidP="00416E6E">
      <w:pPr>
        <w:pStyle w:val="BodyText"/>
        <w:rPr>
          <w:i/>
          <w:szCs w:val="18"/>
          <w:u w:val="single"/>
        </w:rPr>
      </w:pPr>
      <w:r>
        <w:rPr>
          <w:i/>
          <w:szCs w:val="18"/>
          <w:u w:val="single"/>
        </w:rPr>
        <w:t>(</w:t>
      </w:r>
      <w:r w:rsidR="004B3DA8">
        <w:rPr>
          <w:i/>
          <w:szCs w:val="18"/>
          <w:u w:val="single"/>
        </w:rPr>
        <w:t>Verpflichtende Angaben. Die Form und die Art der Angabe der Informationen sind nicht vorgeschrieben.. D</w:t>
      </w:r>
      <w:r w:rsidR="00416E6E">
        <w:rPr>
          <w:i/>
          <w:szCs w:val="18"/>
          <w:u w:val="single"/>
        </w:rPr>
        <w:t>iese Information ist zu löschen.</w:t>
      </w:r>
      <w:r>
        <w:rPr>
          <w:i/>
          <w:szCs w:val="18"/>
          <w:u w:val="single"/>
        </w:rPr>
        <w:t>)</w:t>
      </w:r>
    </w:p>
    <w:p w:rsidR="00FD3B1D" w:rsidRDefault="00FD3B1D" w:rsidP="00B12204">
      <w:pPr>
        <w:pStyle w:val="BodyText"/>
        <w:rPr>
          <w:lang w:val="de-DE"/>
        </w:rPr>
      </w:pPr>
    </w:p>
    <w:bookmarkStart w:id="46" w:name="_MON_1410096811"/>
    <w:bookmarkEnd w:id="46"/>
    <w:p w:rsidR="00FD3B1D" w:rsidRPr="004E1874" w:rsidRDefault="002D35EC" w:rsidP="00B12204">
      <w:pPr>
        <w:pStyle w:val="BodyText"/>
        <w:rPr>
          <w:lang w:val="de-DE"/>
        </w:rPr>
      </w:pPr>
      <w:r w:rsidRPr="001B5855">
        <w:rPr>
          <w:lang w:val="de-DE"/>
        </w:rPr>
        <w:object w:dxaOrig="8990" w:dyaOrig="4189">
          <v:shape id="_x0000_i1051" type="#_x0000_t75" style="width:438.75pt;height:228pt" o:ole="" o:preferrelative="f">
            <v:imagedata r:id="rId77" o:title=""/>
            <o:lock v:ext="edit" aspectratio="f"/>
          </v:shape>
          <o:OLEObject Type="Embed" ProgID="Excel.Sheet.12" ShapeID="_x0000_i1051" DrawAspect="Content" ObjectID="_1448991409" r:id="rId78"/>
        </w:object>
      </w:r>
    </w:p>
    <w:p w:rsidR="00B12204" w:rsidRPr="004E1874" w:rsidRDefault="00B12204" w:rsidP="00B12204">
      <w:pPr>
        <w:pStyle w:val="BodyText"/>
        <w:rPr>
          <w:lang w:val="de-DE"/>
        </w:rPr>
      </w:pPr>
    </w:p>
    <w:p w:rsidR="00B12204" w:rsidRDefault="00B12204" w:rsidP="00B12204">
      <w:pPr>
        <w:pStyle w:val="BodyText"/>
        <w:rPr>
          <w:lang w:val="de-DE"/>
        </w:rPr>
      </w:pPr>
    </w:p>
    <w:p w:rsidR="00B12204" w:rsidRPr="004E1874" w:rsidRDefault="00B12204" w:rsidP="00B12204">
      <w:pPr>
        <w:pStyle w:val="BodyText"/>
        <w:rPr>
          <w:lang w:val="de-DE"/>
        </w:rPr>
      </w:pPr>
    </w:p>
    <w:p w:rsidR="00BE2D5F" w:rsidRDefault="00BE2D5F">
      <w:pPr>
        <w:spacing w:after="200" w:line="276" w:lineRule="auto"/>
        <w:rPr>
          <w:b/>
          <w:caps/>
          <w:sz w:val="18"/>
          <w:lang w:val="de-DE"/>
        </w:rPr>
      </w:pPr>
      <w:r>
        <w:rPr>
          <w:lang w:val="de-DE"/>
        </w:rPr>
        <w:br w:type="page"/>
      </w:r>
    </w:p>
    <w:p w:rsidR="00B12204" w:rsidRPr="004E1874" w:rsidRDefault="00B12204" w:rsidP="00B12204">
      <w:pPr>
        <w:pStyle w:val="Heading1"/>
        <w:rPr>
          <w:lang w:val="de-DE"/>
        </w:rPr>
      </w:pPr>
      <w:r w:rsidRPr="004E1874">
        <w:rPr>
          <w:lang w:val="de-DE"/>
        </w:rPr>
        <w:lastRenderedPageBreak/>
        <w:t xml:space="preserve">InformATIONEN ÜBER ANGABEN AUF DER PASSIVSEITE DER BILANZ </w:t>
      </w:r>
    </w:p>
    <w:p w:rsidR="00B12204" w:rsidRPr="004E1874" w:rsidRDefault="00B12204" w:rsidP="00B12204">
      <w:pPr>
        <w:pStyle w:val="BodyText"/>
        <w:rPr>
          <w:lang w:val="de-DE"/>
        </w:rPr>
      </w:pPr>
    </w:p>
    <w:p w:rsidR="00B12204" w:rsidRPr="00F75DF5" w:rsidRDefault="00B12204" w:rsidP="00F75DF5">
      <w:pPr>
        <w:pStyle w:val="Heading2"/>
        <w:numPr>
          <w:ilvl w:val="0"/>
          <w:numId w:val="13"/>
        </w:numPr>
        <w:rPr>
          <w:lang w:val="de-DE"/>
        </w:rPr>
      </w:pPr>
      <w:bookmarkStart w:id="47" w:name="_Toc530739908"/>
      <w:r w:rsidRPr="00F75DF5">
        <w:rPr>
          <w:lang w:val="de-DE"/>
        </w:rPr>
        <w:t>Eigenkapital</w:t>
      </w:r>
    </w:p>
    <w:p w:rsidR="00B12204" w:rsidRPr="004E1874" w:rsidRDefault="00B12204" w:rsidP="00B12204">
      <w:pPr>
        <w:pStyle w:val="BodyText"/>
        <w:rPr>
          <w:lang w:val="de-DE"/>
        </w:rPr>
      </w:pPr>
    </w:p>
    <w:p w:rsidR="00BE2D5F" w:rsidRDefault="00B12204" w:rsidP="00B12204">
      <w:pPr>
        <w:pStyle w:val="BodyText"/>
        <w:rPr>
          <w:lang w:val="de-DE"/>
        </w:rPr>
      </w:pPr>
      <w:r w:rsidRPr="004E1874">
        <w:rPr>
          <w:lang w:val="de-DE"/>
        </w:rPr>
        <w:t xml:space="preserve">Die Informationen über das Eigenkapital sind in den Teilen C und P angeführt. </w:t>
      </w:r>
    </w:p>
    <w:p w:rsidR="00BE2D5F" w:rsidRPr="004E1874" w:rsidRDefault="00BE2D5F" w:rsidP="00B12204">
      <w:pPr>
        <w:pStyle w:val="BodyText"/>
        <w:rPr>
          <w:lang w:val="de-DE"/>
        </w:rPr>
      </w:pPr>
    </w:p>
    <w:p w:rsidR="00BE2D5F" w:rsidRPr="00F75DF5" w:rsidRDefault="00BE2D5F" w:rsidP="00BE2D5F">
      <w:pPr>
        <w:pStyle w:val="Heading2"/>
        <w:numPr>
          <w:ilvl w:val="0"/>
          <w:numId w:val="13"/>
        </w:numPr>
        <w:rPr>
          <w:lang w:val="de-DE"/>
        </w:rPr>
      </w:pPr>
      <w:r>
        <w:rPr>
          <w:lang w:val="de-DE"/>
        </w:rPr>
        <w:t>R</w:t>
      </w:r>
      <w:r w:rsidRPr="00BE2D5F">
        <w:rPr>
          <w:lang w:val="de-DE"/>
        </w:rPr>
        <w:t>ü</w:t>
      </w:r>
      <w:r>
        <w:rPr>
          <w:lang w:val="de-DE"/>
        </w:rPr>
        <w:t>ckstellungen</w:t>
      </w:r>
    </w:p>
    <w:p w:rsidR="00B12204" w:rsidRPr="004E1874" w:rsidRDefault="00B12204" w:rsidP="00B12204">
      <w:pPr>
        <w:pStyle w:val="BodyText"/>
        <w:rPr>
          <w:lang w:val="de-DE"/>
        </w:rPr>
      </w:pPr>
    </w:p>
    <w:bookmarkEnd w:id="47"/>
    <w:p w:rsidR="00B12204" w:rsidRDefault="00B12204" w:rsidP="00B12204">
      <w:pPr>
        <w:pStyle w:val="BodyText"/>
        <w:rPr>
          <w:lang w:val="de-DE"/>
        </w:rPr>
      </w:pPr>
      <w:r w:rsidRPr="00AD6F5D">
        <w:rPr>
          <w:lang w:val="de-DE"/>
        </w:rPr>
        <w:t xml:space="preserve">Eine Übersicht der Rückstellungen </w:t>
      </w:r>
      <w:r w:rsidR="001109BF" w:rsidRPr="00AD6F5D">
        <w:rPr>
          <w:lang w:val="de-DE"/>
        </w:rPr>
        <w:t>für</w:t>
      </w:r>
      <w:r w:rsidR="001109BF">
        <w:rPr>
          <w:lang w:val="de-DE"/>
        </w:rPr>
        <w:t xml:space="preserve"> die laufende Buchungsperiode</w:t>
      </w:r>
      <w:r w:rsidR="004E3686">
        <w:rPr>
          <w:lang w:val="de-DE"/>
        </w:rPr>
        <w:t xml:space="preserve"> </w:t>
      </w:r>
      <w:r w:rsidRPr="005317BF">
        <w:rPr>
          <w:lang w:val="de-DE"/>
        </w:rPr>
        <w:t>wird in folgender Tabelle dargestellt:</w:t>
      </w:r>
    </w:p>
    <w:p w:rsidR="00416E6E" w:rsidRDefault="00252994" w:rsidP="00416E6E">
      <w:pPr>
        <w:pStyle w:val="BodyText"/>
        <w:rPr>
          <w:i/>
          <w:szCs w:val="18"/>
          <w:u w:val="single"/>
        </w:rPr>
      </w:pPr>
      <w:r>
        <w:rPr>
          <w:i/>
          <w:szCs w:val="18"/>
          <w:u w:val="single"/>
        </w:rPr>
        <w:t>(</w:t>
      </w:r>
      <w:r w:rsidR="00416E6E">
        <w:rPr>
          <w:i/>
          <w:szCs w:val="18"/>
          <w:u w:val="single"/>
        </w:rPr>
        <w:t>Der Inhalt und die Anzahl der Zeilen werden nach den Bedürfnissen der Buchführungseinheit geändert. Die Spalten dürfen nicht geändert werden. Diese Information ist zu löschen.</w:t>
      </w:r>
      <w:r>
        <w:rPr>
          <w:i/>
          <w:szCs w:val="18"/>
          <w:u w:val="single"/>
        </w:rPr>
        <w:t>)</w:t>
      </w:r>
    </w:p>
    <w:p w:rsidR="00416E6E" w:rsidRPr="00416E6E" w:rsidRDefault="00416E6E" w:rsidP="00B12204">
      <w:pPr>
        <w:pStyle w:val="BodyText"/>
      </w:pPr>
    </w:p>
    <w:p w:rsidR="00B12204" w:rsidRPr="00C15AAD" w:rsidRDefault="00B12204" w:rsidP="009D0700">
      <w:pPr>
        <w:ind w:left="426"/>
        <w:rPr>
          <w:sz w:val="18"/>
          <w:szCs w:val="18"/>
        </w:rPr>
      </w:pPr>
    </w:p>
    <w:bookmarkStart w:id="48" w:name="_MON_1410096929"/>
    <w:bookmarkEnd w:id="48"/>
    <w:p w:rsidR="00D36C6F" w:rsidRDefault="006A63EB" w:rsidP="009D0700">
      <w:pPr>
        <w:ind w:left="426"/>
      </w:pPr>
      <w:r>
        <w:object w:dxaOrig="8925" w:dyaOrig="9598">
          <v:shape id="_x0000_i1052" type="#_x0000_t75" style="width:438.75pt;height:525.75pt" o:ole="" o:preferrelative="f">
            <v:imagedata r:id="rId79" o:title=""/>
            <o:lock v:ext="edit" aspectratio="f"/>
          </v:shape>
          <o:OLEObject Type="Embed" ProgID="Excel.Sheet.12" ShapeID="_x0000_i1052" DrawAspect="Content" ObjectID="_1448991410" r:id="rId80"/>
        </w:object>
      </w:r>
    </w:p>
    <w:p w:rsidR="00042775" w:rsidRDefault="00042775" w:rsidP="00042775">
      <w:pPr>
        <w:pStyle w:val="BodyText"/>
        <w:rPr>
          <w:lang w:val="de-DE"/>
        </w:rPr>
      </w:pPr>
      <w:r w:rsidRPr="00E7779F">
        <w:rPr>
          <w:lang w:val="de-DE"/>
        </w:rPr>
        <w:lastRenderedPageBreak/>
        <w:t xml:space="preserve">Die Rückstellung für Ruhestandsübergangsgeld wurde unter Anwendung der Versicherungsmathematik gebildet. </w:t>
      </w:r>
    </w:p>
    <w:p w:rsidR="00042775" w:rsidRDefault="00042775" w:rsidP="00042775">
      <w:pPr>
        <w:pStyle w:val="BodyText"/>
        <w:rPr>
          <w:b/>
          <w:lang w:val="de-DE"/>
        </w:rPr>
      </w:pPr>
    </w:p>
    <w:p w:rsidR="00042775" w:rsidRPr="00E7779F" w:rsidRDefault="00042775" w:rsidP="00042775">
      <w:pPr>
        <w:pStyle w:val="BodyText"/>
        <w:rPr>
          <w:lang w:val="de-DE"/>
        </w:rPr>
      </w:pPr>
      <w:r w:rsidRPr="00E7779F">
        <w:rPr>
          <w:lang w:val="de-DE"/>
        </w:rPr>
        <w:t>Die Rückstellung für die Abfindu</w:t>
      </w:r>
      <w:r>
        <w:rPr>
          <w:lang w:val="de-DE"/>
        </w:rPr>
        <w:t xml:space="preserve">ng wurde im Zusammenhang mit </w:t>
      </w:r>
      <w:r w:rsidRPr="00CF6E10">
        <w:rPr>
          <w:lang w:val="de-DE"/>
        </w:rPr>
        <w:t>dem</w:t>
      </w:r>
      <w:r w:rsidRPr="00E7779F">
        <w:rPr>
          <w:lang w:val="de-DE"/>
        </w:rPr>
        <w:t xml:space="preserve"> geplanten Abbau der</w:t>
      </w:r>
      <w:r>
        <w:rPr>
          <w:lang w:val="de-DE"/>
        </w:rPr>
        <w:t xml:space="preserve"> Arbeitnehmeranzahl im Jahr 201</w:t>
      </w:r>
      <w:r w:rsidR="002D35EC">
        <w:rPr>
          <w:lang w:val="de-DE"/>
        </w:rPr>
        <w:t>4</w:t>
      </w:r>
      <w:r w:rsidRPr="00E7779F">
        <w:rPr>
          <w:lang w:val="de-DE"/>
        </w:rPr>
        <w:t xml:space="preserve"> gebildet. </w:t>
      </w:r>
    </w:p>
    <w:p w:rsidR="00042775" w:rsidRDefault="00042775" w:rsidP="00042775">
      <w:pPr>
        <w:pStyle w:val="BodyText"/>
        <w:rPr>
          <w:b/>
          <w:lang w:val="de-DE"/>
        </w:rPr>
      </w:pPr>
    </w:p>
    <w:p w:rsidR="00042775" w:rsidRPr="00AD351E" w:rsidRDefault="00042775" w:rsidP="00042775">
      <w:pPr>
        <w:pStyle w:val="BodyText"/>
        <w:rPr>
          <w:lang w:val="de-DE"/>
        </w:rPr>
      </w:pPr>
      <w:r w:rsidRPr="00AD351E">
        <w:rPr>
          <w:lang w:val="de-DE"/>
        </w:rPr>
        <w:t xml:space="preserve">Die Rückstellung für Garantiereparaturen i.H.v. </w:t>
      </w:r>
      <w:r w:rsidRPr="009D33FD">
        <w:rPr>
          <w:lang w:val="de-DE"/>
        </w:rPr>
        <w:t xml:space="preserve">EUR </w:t>
      </w:r>
      <w:r>
        <w:rPr>
          <w:lang w:val="de-DE"/>
        </w:rPr>
        <w:t> 20 188</w:t>
      </w:r>
      <w:r w:rsidRPr="009D33FD">
        <w:rPr>
          <w:lang w:val="de-DE"/>
        </w:rPr>
        <w:t xml:space="preserve"> </w:t>
      </w:r>
      <w:r w:rsidRPr="00AD351E">
        <w:rPr>
          <w:lang w:val="de-DE"/>
        </w:rPr>
        <w:t>wurde für vorgesehene Aufwendungen für Garantiereparaturen der Erzeugnisse gebilde</w:t>
      </w:r>
      <w:r>
        <w:rPr>
          <w:lang w:val="de-DE"/>
        </w:rPr>
        <w:t>t, die vor dem 31. Dezember 201</w:t>
      </w:r>
      <w:r w:rsidR="002D35EC">
        <w:rPr>
          <w:lang w:val="de-DE"/>
        </w:rPr>
        <w:t>3</w:t>
      </w:r>
      <w:r w:rsidRPr="00AD351E">
        <w:rPr>
          <w:lang w:val="de-DE"/>
        </w:rPr>
        <w:t xml:space="preserve"> verkauft wurden. Sie wurde als Summe der Aufwendungen für Garantiereparaturen der Erzeugnisse, die zum Bilanzstichtag bereits reklamiert wurden (dieser Teil der Rückstellung wurde individuell gebildet) und der Aufwendungen für Garantiereparaturen der Erzeugnisse, die zum Bilanzstichtag noch nicht reklamiert wurden (dieser Teil der Rückstellung wurde pauschal als Prozentanteil aus dem Umsatz gebildet), ermittelt. </w:t>
      </w:r>
      <w:r>
        <w:rPr>
          <w:lang w:val="de-DE"/>
        </w:rPr>
        <w:t>D</w:t>
      </w:r>
      <w:r w:rsidRPr="00AD351E">
        <w:rPr>
          <w:lang w:val="de-DE"/>
        </w:rPr>
        <w:t>ie Rückstellung</w:t>
      </w:r>
      <w:r>
        <w:rPr>
          <w:lang w:val="de-DE"/>
        </w:rPr>
        <w:t xml:space="preserve"> wird</w:t>
      </w:r>
      <w:r w:rsidRPr="00AD351E">
        <w:rPr>
          <w:lang w:val="de-DE"/>
        </w:rPr>
        <w:t xml:space="preserve"> in den Geschäftsjahren </w:t>
      </w:r>
      <w:r w:rsidR="00D73667">
        <w:rPr>
          <w:lang w:val="de-DE"/>
        </w:rPr>
        <w:t>2015</w:t>
      </w:r>
      <w:r w:rsidR="00B94584">
        <w:rPr>
          <w:lang w:val="de-DE"/>
        </w:rPr>
        <w:t xml:space="preserve"> </w:t>
      </w:r>
      <w:r w:rsidRPr="00AD351E">
        <w:rPr>
          <w:lang w:val="de-DE"/>
        </w:rPr>
        <w:t xml:space="preserve">und </w:t>
      </w:r>
      <w:r>
        <w:rPr>
          <w:lang w:val="de-DE"/>
        </w:rPr>
        <w:t>201</w:t>
      </w:r>
      <w:r w:rsidR="002D35EC">
        <w:rPr>
          <w:lang w:val="de-DE"/>
        </w:rPr>
        <w:t>6</w:t>
      </w:r>
      <w:r w:rsidRPr="00AD351E">
        <w:rPr>
          <w:lang w:val="de-DE"/>
        </w:rPr>
        <w:t xml:space="preserve"> verwendet.</w:t>
      </w:r>
    </w:p>
    <w:p w:rsidR="00042775" w:rsidRPr="00401779" w:rsidRDefault="00042775" w:rsidP="00042775">
      <w:pPr>
        <w:pStyle w:val="BodyText"/>
        <w:rPr>
          <w:lang w:val="de-DE"/>
        </w:rPr>
      </w:pPr>
    </w:p>
    <w:p w:rsidR="00042775" w:rsidRPr="009D33FD" w:rsidRDefault="00042775" w:rsidP="00042775">
      <w:pPr>
        <w:pStyle w:val="BodyText"/>
        <w:rPr>
          <w:lang w:val="de-DE"/>
        </w:rPr>
      </w:pPr>
      <w:r w:rsidRPr="009D33FD">
        <w:rPr>
          <w:lang w:val="de-DE"/>
        </w:rPr>
        <w:t xml:space="preserve">Die Rückstellung für die </w:t>
      </w:r>
      <w:r w:rsidRPr="00401779">
        <w:rPr>
          <w:lang w:val="de-DE"/>
        </w:rPr>
        <w:t xml:space="preserve">in die Atmosphäre ausgestoßenen Emissionen i.H.v. EUR </w:t>
      </w:r>
      <w:r w:rsidRPr="009D33FD">
        <w:rPr>
          <w:lang w:val="de-DE"/>
        </w:rPr>
        <w:t>5</w:t>
      </w:r>
      <w:r>
        <w:rPr>
          <w:lang w:val="de-DE"/>
        </w:rPr>
        <w:t xml:space="preserve"> </w:t>
      </w:r>
      <w:r w:rsidRPr="009D33FD">
        <w:rPr>
          <w:lang w:val="de-DE"/>
        </w:rPr>
        <w:t xml:space="preserve">468 wurde in Höhe des Vielfaches der während der Buchungsperiode </w:t>
      </w:r>
      <w:r w:rsidRPr="00401779">
        <w:rPr>
          <w:lang w:val="de-DE"/>
        </w:rPr>
        <w:t>in die Atmosphäre ausgestoßenen Emissionen und des Werts der Emissionsquoten, die von der Gesellschaft zur Abgabe gemäß dem Gesetz über den Handel mit Emissionsquoten bestimmt wurde, gebildet.</w:t>
      </w:r>
    </w:p>
    <w:p w:rsidR="00042775" w:rsidRPr="009D33FD" w:rsidRDefault="00042775" w:rsidP="00042775">
      <w:pPr>
        <w:pStyle w:val="BodyText"/>
        <w:rPr>
          <w:lang w:val="de-DE"/>
        </w:rPr>
      </w:pPr>
    </w:p>
    <w:p w:rsidR="00042775" w:rsidRPr="00401779" w:rsidRDefault="00042775" w:rsidP="00042775">
      <w:pPr>
        <w:pStyle w:val="BodyText"/>
        <w:rPr>
          <w:lang w:val="de-DE"/>
        </w:rPr>
      </w:pPr>
      <w:r w:rsidRPr="00401779">
        <w:rPr>
          <w:lang w:val="de-DE"/>
        </w:rPr>
        <w:t>Die Rückstellung</w:t>
      </w:r>
      <w:r w:rsidRPr="00401779">
        <w:rPr>
          <w:color w:val="000000"/>
          <w:lang w:val="de-DE"/>
        </w:rPr>
        <w:t xml:space="preserve"> für Strafen und Pönale</w:t>
      </w:r>
      <w:r w:rsidRPr="00401779">
        <w:rPr>
          <w:lang w:val="de-DE"/>
        </w:rPr>
        <w:t xml:space="preserve"> i.H.v. </w:t>
      </w:r>
      <w:r w:rsidR="00762623">
        <w:rPr>
          <w:lang w:val="de-DE"/>
        </w:rPr>
        <w:t xml:space="preserve">EUR 7 </w:t>
      </w:r>
      <w:r w:rsidRPr="00401779">
        <w:rPr>
          <w:lang w:val="de-DE"/>
        </w:rPr>
        <w:t xml:space="preserve">300 wurde für </w:t>
      </w:r>
      <w:r w:rsidR="00A657A4">
        <w:rPr>
          <w:lang w:val="de-DE"/>
        </w:rPr>
        <w:t>erwartete</w:t>
      </w:r>
      <w:r w:rsidRPr="00401779">
        <w:rPr>
          <w:lang w:val="de-DE"/>
        </w:rPr>
        <w:t xml:space="preserve"> Strafen und Pönale aus der Nichteinhaltung der Lieferbedingungen gebildet. </w:t>
      </w:r>
    </w:p>
    <w:p w:rsidR="00042775" w:rsidRPr="00401779" w:rsidRDefault="00042775" w:rsidP="00042775">
      <w:pPr>
        <w:pStyle w:val="BodyText"/>
        <w:rPr>
          <w:lang w:val="de-DE"/>
        </w:rPr>
      </w:pPr>
    </w:p>
    <w:p w:rsidR="00042775" w:rsidRPr="00316A72" w:rsidRDefault="00042775" w:rsidP="00042775">
      <w:pPr>
        <w:pStyle w:val="BodyText"/>
        <w:jc w:val="left"/>
        <w:rPr>
          <w:b/>
          <w:lang w:val="de-DE"/>
        </w:rPr>
      </w:pPr>
      <w:r w:rsidRPr="00316A72">
        <w:rPr>
          <w:b/>
          <w:lang w:val="de-DE"/>
        </w:rPr>
        <w:t xml:space="preserve">Nicht fakturierte Vermögenslieferungen </w:t>
      </w:r>
    </w:p>
    <w:p w:rsidR="00042775" w:rsidRPr="00316A72" w:rsidRDefault="00042775" w:rsidP="00042775">
      <w:pPr>
        <w:pStyle w:val="BodyText"/>
        <w:jc w:val="left"/>
        <w:rPr>
          <w:b/>
          <w:lang w:val="de-DE"/>
        </w:rPr>
      </w:pPr>
    </w:p>
    <w:p w:rsidR="00042775" w:rsidRDefault="00042775" w:rsidP="00042775">
      <w:pPr>
        <w:pStyle w:val="BodyText"/>
        <w:rPr>
          <w:lang w:val="de-DE"/>
        </w:rPr>
      </w:pPr>
      <w:r w:rsidRPr="00316A72">
        <w:rPr>
          <w:lang w:val="de-DE"/>
        </w:rPr>
        <w:t xml:space="preserve">Die Rückstellungen für nicht fakturierte Vermögenslieferungen werden ergebnisneutral ausgewiesen. </w:t>
      </w:r>
    </w:p>
    <w:p w:rsidR="00042775" w:rsidRPr="00735C57" w:rsidRDefault="00042775" w:rsidP="00042775">
      <w:pPr>
        <w:pStyle w:val="BodyText"/>
        <w:rPr>
          <w:highlight w:val="yellow"/>
        </w:rPr>
      </w:pPr>
    </w:p>
    <w:p w:rsidR="00C45370" w:rsidRPr="00C15AAD" w:rsidRDefault="00C45370" w:rsidP="004E3686">
      <w:pPr>
        <w:pStyle w:val="BodyText"/>
        <w:rPr>
          <w:szCs w:val="18"/>
        </w:rPr>
      </w:pPr>
    </w:p>
    <w:p w:rsidR="00D36C6F" w:rsidRPr="00C15AAD" w:rsidRDefault="008C782B">
      <w:pPr>
        <w:spacing w:after="200" w:line="276" w:lineRule="auto"/>
        <w:rPr>
          <w:sz w:val="18"/>
          <w:szCs w:val="18"/>
          <w:lang w:val="de-DE"/>
        </w:rPr>
      </w:pPr>
      <w:r w:rsidRPr="008C782B">
        <w:rPr>
          <w:sz w:val="18"/>
          <w:szCs w:val="18"/>
          <w:lang w:val="de-DE"/>
        </w:rPr>
        <w:br w:type="page"/>
      </w:r>
    </w:p>
    <w:p w:rsidR="004E3686" w:rsidRDefault="004E3686" w:rsidP="004E3686">
      <w:pPr>
        <w:pStyle w:val="BodyText"/>
        <w:rPr>
          <w:lang w:val="de-DE"/>
        </w:rPr>
      </w:pPr>
      <w:r w:rsidRPr="005317BF">
        <w:rPr>
          <w:lang w:val="de-DE"/>
        </w:rPr>
        <w:lastRenderedPageBreak/>
        <w:t xml:space="preserve">Eine Übersicht der Rückstellungen </w:t>
      </w:r>
      <w:r w:rsidR="001109BF" w:rsidRPr="00AD6F5D">
        <w:rPr>
          <w:lang w:val="de-DE"/>
        </w:rPr>
        <w:t>für</w:t>
      </w:r>
      <w:r w:rsidR="001109BF">
        <w:rPr>
          <w:lang w:val="de-DE"/>
        </w:rPr>
        <w:t xml:space="preserve"> die Vorperiode</w:t>
      </w:r>
      <w:r>
        <w:rPr>
          <w:lang w:val="de-DE"/>
        </w:rPr>
        <w:t xml:space="preserve"> </w:t>
      </w:r>
      <w:r w:rsidRPr="005317BF">
        <w:rPr>
          <w:lang w:val="de-DE"/>
        </w:rPr>
        <w:t>wird in folgender Tabelle dargestellt:</w:t>
      </w:r>
    </w:p>
    <w:p w:rsidR="00416E6E" w:rsidRDefault="00252994" w:rsidP="00416E6E">
      <w:pPr>
        <w:pStyle w:val="BodyText"/>
        <w:rPr>
          <w:i/>
          <w:szCs w:val="18"/>
          <w:u w:val="single"/>
        </w:rPr>
      </w:pPr>
      <w:r>
        <w:rPr>
          <w:i/>
          <w:szCs w:val="18"/>
          <w:u w:val="single"/>
        </w:rPr>
        <w:t>(</w:t>
      </w:r>
      <w:r w:rsidR="00416E6E">
        <w:rPr>
          <w:i/>
          <w:szCs w:val="18"/>
          <w:u w:val="single"/>
        </w:rPr>
        <w:t>Der Inhalt und die Anzahl der Zeilen werden nach den Bedürfnissen der Buchführungseinheit geändert. Die Spalten dürfen nicht geändert werden. Diese Information ist zu löschen.</w:t>
      </w:r>
      <w:r>
        <w:rPr>
          <w:i/>
          <w:szCs w:val="18"/>
          <w:u w:val="single"/>
        </w:rPr>
        <w:t>)</w:t>
      </w:r>
    </w:p>
    <w:p w:rsidR="00416E6E" w:rsidRPr="00416E6E" w:rsidRDefault="00416E6E" w:rsidP="004E3686">
      <w:pPr>
        <w:pStyle w:val="BodyText"/>
      </w:pPr>
    </w:p>
    <w:p w:rsidR="004E3686" w:rsidRDefault="004E3686" w:rsidP="004E3686">
      <w:pPr>
        <w:pStyle w:val="BodyText"/>
        <w:rPr>
          <w:lang w:val="de-DE"/>
        </w:rPr>
      </w:pPr>
    </w:p>
    <w:bookmarkStart w:id="49" w:name="_MON_1410097102"/>
    <w:bookmarkEnd w:id="49"/>
    <w:p w:rsidR="004E3686" w:rsidRDefault="006A63EB" w:rsidP="009D0700">
      <w:pPr>
        <w:ind w:left="426"/>
      </w:pPr>
      <w:r>
        <w:object w:dxaOrig="8823" w:dyaOrig="9018">
          <v:shape id="_x0000_i1053" type="#_x0000_t75" style="width:438.75pt;height:501.75pt" o:ole="" o:preferrelative="f">
            <v:imagedata r:id="rId81" o:title=""/>
            <o:lock v:ext="edit" aspectratio="f"/>
          </v:shape>
          <o:OLEObject Type="Embed" ProgID="Excel.Sheet.12" ShapeID="_x0000_i1053" DrawAspect="Content" ObjectID="_1448991411" r:id="rId82"/>
        </w:object>
      </w:r>
    </w:p>
    <w:p w:rsidR="002A7CDF" w:rsidRPr="00C15AAD" w:rsidRDefault="002A7CDF" w:rsidP="002A7CDF">
      <w:pPr>
        <w:pStyle w:val="BodyText"/>
        <w:rPr>
          <w:b/>
          <w:lang w:val="de-DE"/>
        </w:rPr>
      </w:pPr>
    </w:p>
    <w:p w:rsidR="00042775" w:rsidRPr="00C15AAD" w:rsidRDefault="008C782B">
      <w:pPr>
        <w:spacing w:after="200" w:line="276" w:lineRule="auto"/>
        <w:rPr>
          <w:b/>
          <w:sz w:val="18"/>
          <w:lang w:val="de-DE"/>
        </w:rPr>
      </w:pPr>
      <w:r w:rsidRPr="008C782B">
        <w:rPr>
          <w:b/>
          <w:sz w:val="18"/>
          <w:lang w:val="de-DE"/>
        </w:rPr>
        <w:br w:type="page"/>
      </w:r>
    </w:p>
    <w:p w:rsidR="003E7CAD" w:rsidRPr="005C5929" w:rsidRDefault="00027877" w:rsidP="003E7CAD">
      <w:pPr>
        <w:pStyle w:val="Heading2"/>
        <w:numPr>
          <w:ilvl w:val="0"/>
          <w:numId w:val="13"/>
        </w:numPr>
        <w:rPr>
          <w:lang w:val="de-DE"/>
        </w:rPr>
      </w:pPr>
      <w:r w:rsidRPr="00027877">
        <w:rPr>
          <w:lang w:val="de-DE"/>
        </w:rPr>
        <w:lastRenderedPageBreak/>
        <w:t>Verbindlichkeiten</w:t>
      </w:r>
    </w:p>
    <w:p w:rsidR="003E7CAD" w:rsidRPr="00E7779F" w:rsidRDefault="003E7CAD" w:rsidP="002A7CDF">
      <w:pPr>
        <w:pStyle w:val="BodyText"/>
        <w:rPr>
          <w:lang w:val="de-DE"/>
        </w:rPr>
      </w:pPr>
    </w:p>
    <w:p w:rsidR="002A7CDF" w:rsidRPr="00E7779F" w:rsidRDefault="002A7CDF" w:rsidP="002A7CDF">
      <w:pPr>
        <w:pStyle w:val="BodyText"/>
        <w:rPr>
          <w:lang w:val="de-DE"/>
        </w:rPr>
      </w:pPr>
      <w:r w:rsidRPr="00E7779F">
        <w:rPr>
          <w:lang w:val="de-DE"/>
        </w:rPr>
        <w:t>Die Struktur der Verbindlichkeiten (mit Ausnahme der Bankkredite) nach der Restlaufzeit wird in folgender Tabelle angeführt:</w:t>
      </w:r>
    </w:p>
    <w:p w:rsidR="002E0197" w:rsidRDefault="00252994" w:rsidP="002E0197">
      <w:pPr>
        <w:pStyle w:val="BodyText"/>
        <w:rPr>
          <w:i/>
          <w:szCs w:val="18"/>
          <w:u w:val="single"/>
        </w:rPr>
      </w:pPr>
      <w:r>
        <w:rPr>
          <w:i/>
          <w:szCs w:val="18"/>
          <w:u w:val="single"/>
        </w:rPr>
        <w:t>(</w:t>
      </w:r>
      <w:r w:rsidR="002E0197">
        <w:rPr>
          <w:i/>
          <w:szCs w:val="18"/>
          <w:u w:val="single"/>
        </w:rPr>
        <w:t>Der Inhalt, die Anzahl der Zeilen und Spalten in der Tabelle dürfen nicht geändert werden. Diese Information ist zu löschen.</w:t>
      </w:r>
      <w:r>
        <w:rPr>
          <w:i/>
          <w:szCs w:val="18"/>
          <w:u w:val="single"/>
        </w:rPr>
        <w:t>)</w:t>
      </w:r>
    </w:p>
    <w:p w:rsidR="002A7CDF" w:rsidRPr="00561333" w:rsidRDefault="002A7CDF" w:rsidP="002A7CDF">
      <w:pPr>
        <w:pStyle w:val="BodyText"/>
        <w:rPr>
          <w:highlight w:val="yellow"/>
          <w:lang w:val="de-DE"/>
        </w:rPr>
      </w:pPr>
    </w:p>
    <w:bookmarkStart w:id="50" w:name="_MON_1410097543"/>
    <w:bookmarkEnd w:id="50"/>
    <w:p w:rsidR="002A7CDF" w:rsidRDefault="00096F56" w:rsidP="009D0700">
      <w:pPr>
        <w:ind w:left="426"/>
      </w:pPr>
      <w:r>
        <w:object w:dxaOrig="8923" w:dyaOrig="2292">
          <v:shape id="_x0000_i1054" type="#_x0000_t75" style="width:438.75pt;height:125.25pt" o:ole="" o:preferrelative="f">
            <v:imagedata r:id="rId83" o:title=""/>
            <o:lock v:ext="edit" aspectratio="f"/>
          </v:shape>
          <o:OLEObject Type="Embed" ProgID="Excel.Sheet.12" ShapeID="_x0000_i1054" DrawAspect="Content" ObjectID="_1448991412" r:id="rId84"/>
        </w:object>
      </w:r>
    </w:p>
    <w:p w:rsidR="00096F56" w:rsidRDefault="00096F56" w:rsidP="002E0197">
      <w:pPr>
        <w:pStyle w:val="BodyText"/>
      </w:pPr>
    </w:p>
    <w:p w:rsidR="002E0197" w:rsidRDefault="00374E79" w:rsidP="002E0197">
      <w:pPr>
        <w:pStyle w:val="BodyText"/>
      </w:pPr>
      <w:r>
        <w:t>Di</w:t>
      </w:r>
      <w:r w:rsidR="002E0197">
        <w:t xml:space="preserve">e latente Steuerverbindlichkeit </w:t>
      </w:r>
      <w:r w:rsidR="002E0197" w:rsidRPr="005F5E2E">
        <w:t>(</w:t>
      </w:r>
      <w:r w:rsidR="002E0197">
        <w:t>Konto 481) und der Nettowert des Auftrages (Konto 316)</w:t>
      </w:r>
      <w:r w:rsidRPr="00374E79">
        <w:t xml:space="preserve"> </w:t>
      </w:r>
      <w:r w:rsidR="00F35FDF">
        <w:t>sind</w:t>
      </w:r>
      <w:r>
        <w:t xml:space="preserve"> </w:t>
      </w:r>
      <w:r w:rsidR="00F35FDF">
        <w:t>kein</w:t>
      </w:r>
      <w:r>
        <w:t xml:space="preserve"> Bestandteil der Altersstruktur der Verbindlichkeiten</w:t>
      </w:r>
      <w:r w:rsidR="002E0197">
        <w:t xml:space="preserve">. Die Informationen über die latente Steuer sind im Teil G.4. und die Informationen </w:t>
      </w:r>
      <w:r w:rsidR="00C17A50">
        <w:t xml:space="preserve">über den  Nettowert des Auftrages sind im Teil F.4. </w:t>
      </w:r>
      <w:r w:rsidR="008C782B" w:rsidRPr="008C782B">
        <w:t xml:space="preserve">und  F.5 </w:t>
      </w:r>
      <w:r w:rsidR="00C17A50">
        <w:t>angeführt.</w:t>
      </w:r>
    </w:p>
    <w:p w:rsidR="002E0197" w:rsidRPr="002E0197" w:rsidRDefault="002E0197" w:rsidP="007A005F">
      <w:pPr>
        <w:pStyle w:val="BodyText"/>
      </w:pPr>
    </w:p>
    <w:p w:rsidR="007A005F" w:rsidRDefault="007A005F" w:rsidP="007A005F">
      <w:pPr>
        <w:pStyle w:val="BodyText"/>
        <w:rPr>
          <w:lang w:val="de-DE"/>
        </w:rPr>
      </w:pPr>
      <w:r w:rsidRPr="00E7779F">
        <w:rPr>
          <w:lang w:val="de-DE"/>
        </w:rPr>
        <w:t xml:space="preserve">Verbindlichkeiten i.H.v. </w:t>
      </w:r>
      <w:r w:rsidRPr="009D33FD">
        <w:rPr>
          <w:lang w:val="de-DE"/>
        </w:rPr>
        <w:t>EUR 663</w:t>
      </w:r>
      <w:r>
        <w:rPr>
          <w:lang w:val="de-DE"/>
        </w:rPr>
        <w:t xml:space="preserve"> </w:t>
      </w:r>
      <w:r w:rsidRPr="009D33FD">
        <w:rPr>
          <w:lang w:val="de-DE"/>
        </w:rPr>
        <w:t xml:space="preserve">880 </w:t>
      </w:r>
      <w:r w:rsidRPr="00E7779F">
        <w:rPr>
          <w:lang w:val="de-DE"/>
        </w:rPr>
        <w:t>sind durch Pfandrechte gesichert. Gegenstand des Pfandr</w:t>
      </w:r>
      <w:r>
        <w:rPr>
          <w:lang w:val="de-DE"/>
        </w:rPr>
        <w:t xml:space="preserve">echtes ist zum 31. Dezember </w:t>
      </w:r>
      <w:r w:rsidR="00446982">
        <w:rPr>
          <w:lang w:val="de-DE"/>
        </w:rPr>
        <w:t>201</w:t>
      </w:r>
      <w:r w:rsidR="002D35EC">
        <w:rPr>
          <w:lang w:val="de-DE"/>
        </w:rPr>
        <w:t>3</w:t>
      </w:r>
      <w:r w:rsidR="00446982" w:rsidRPr="00E7779F">
        <w:rPr>
          <w:lang w:val="de-DE"/>
        </w:rPr>
        <w:t xml:space="preserve"> </w:t>
      </w:r>
      <w:r w:rsidRPr="00E7779F">
        <w:rPr>
          <w:lang w:val="de-DE"/>
        </w:rPr>
        <w:t xml:space="preserve">eine Fertigungslinie </w:t>
      </w:r>
      <w:r>
        <w:rPr>
          <w:lang w:val="de-DE"/>
        </w:rPr>
        <w:t xml:space="preserve">mit einem </w:t>
      </w:r>
      <w:r w:rsidRPr="00E7779F">
        <w:rPr>
          <w:lang w:val="de-DE"/>
        </w:rPr>
        <w:t xml:space="preserve">Restbuchwert i.H.v. </w:t>
      </w:r>
      <w:r w:rsidRPr="009D33FD">
        <w:rPr>
          <w:lang w:val="de-DE"/>
        </w:rPr>
        <w:t xml:space="preserve">EUR </w:t>
      </w:r>
      <w:r>
        <w:t>995 817</w:t>
      </w:r>
      <w:r w:rsidRPr="00E7779F">
        <w:rPr>
          <w:lang w:val="de-DE"/>
        </w:rPr>
        <w:t>.</w:t>
      </w:r>
    </w:p>
    <w:p w:rsidR="007A005F" w:rsidRDefault="007A005F" w:rsidP="007A005F">
      <w:pPr>
        <w:pStyle w:val="BodyText"/>
        <w:rPr>
          <w:lang w:val="de-DE"/>
        </w:rPr>
      </w:pPr>
    </w:p>
    <w:p w:rsidR="007A005F" w:rsidRDefault="0094586A" w:rsidP="007A005F">
      <w:pPr>
        <w:pStyle w:val="BodyText"/>
        <w:rPr>
          <w:lang w:val="de-DE"/>
        </w:rPr>
      </w:pPr>
      <w:r>
        <w:rPr>
          <w:lang w:val="de-DE"/>
        </w:rPr>
        <w:t xml:space="preserve">Die </w:t>
      </w:r>
      <w:r w:rsidR="007A005F">
        <w:rPr>
          <w:lang w:val="de-DE"/>
        </w:rPr>
        <w:t xml:space="preserve">Gesellschaft </w:t>
      </w:r>
      <w:r>
        <w:rPr>
          <w:lang w:val="de-DE"/>
        </w:rPr>
        <w:t xml:space="preserve">hat </w:t>
      </w:r>
      <w:r w:rsidR="007A005F" w:rsidRPr="00F437E6">
        <w:rPr>
          <w:lang w:val="de-DE"/>
        </w:rPr>
        <w:t xml:space="preserve">Verbindlichkeiten aus dem Finanzierungsleasing von drei PKWs und einer CNC Maschine. </w:t>
      </w:r>
      <w:r w:rsidR="007A005F" w:rsidRPr="00941C98">
        <w:rPr>
          <w:lang w:val="de-DE"/>
        </w:rPr>
        <w:t>Die Höhe der künftigen Zahlungen, aufgeteilt nach der Laufzeit, dem Nominalwert und dem Finanzaufwand, wird in folgender Tabelle angeführt:</w:t>
      </w:r>
    </w:p>
    <w:p w:rsidR="002E0197" w:rsidRDefault="00252994" w:rsidP="002E0197">
      <w:pPr>
        <w:pStyle w:val="BodyText"/>
        <w:rPr>
          <w:i/>
          <w:szCs w:val="18"/>
          <w:u w:val="single"/>
        </w:rPr>
      </w:pPr>
      <w:r>
        <w:rPr>
          <w:i/>
          <w:szCs w:val="18"/>
          <w:u w:val="single"/>
        </w:rPr>
        <w:t>(</w:t>
      </w:r>
      <w:r w:rsidR="002E0197">
        <w:rPr>
          <w:i/>
          <w:szCs w:val="18"/>
          <w:u w:val="single"/>
        </w:rPr>
        <w:t>Der Inhalt, die Anzahl der Zeilen und Spalten in der Tabelle dürfen nicht geändert werden. Diese Information ist zu löschen.</w:t>
      </w:r>
      <w:r>
        <w:rPr>
          <w:i/>
          <w:szCs w:val="18"/>
          <w:u w:val="single"/>
        </w:rPr>
        <w:t>)</w:t>
      </w:r>
    </w:p>
    <w:p w:rsidR="002E0197" w:rsidRDefault="002E0197" w:rsidP="007A005F">
      <w:pPr>
        <w:pStyle w:val="BodyText"/>
        <w:rPr>
          <w:lang w:val="de-DE"/>
        </w:rPr>
      </w:pPr>
    </w:p>
    <w:p w:rsidR="00D36C6F" w:rsidRDefault="00D36C6F" w:rsidP="007A005F">
      <w:pPr>
        <w:pStyle w:val="BodyText"/>
        <w:rPr>
          <w:lang w:val="de-DE"/>
        </w:rPr>
      </w:pPr>
    </w:p>
    <w:bookmarkStart w:id="51" w:name="_MON_1410097964"/>
    <w:bookmarkEnd w:id="51"/>
    <w:p w:rsidR="007A005F" w:rsidRDefault="002D35EC" w:rsidP="007A005F">
      <w:pPr>
        <w:pStyle w:val="Heading2"/>
        <w:numPr>
          <w:ilvl w:val="0"/>
          <w:numId w:val="0"/>
        </w:numPr>
        <w:tabs>
          <w:tab w:val="left" w:pos="1644"/>
        </w:tabs>
        <w:ind w:firstLine="450"/>
        <w:rPr>
          <w:lang w:val="de-DE"/>
        </w:rPr>
      </w:pPr>
      <w:r w:rsidRPr="00167134">
        <w:object w:dxaOrig="9907" w:dyaOrig="2354">
          <v:shape id="_x0000_i1055" type="#_x0000_t75" style="width:435.75pt;height:116.25pt" o:ole="" o:preferrelative="f">
            <v:imagedata r:id="rId85" o:title=""/>
            <o:lock v:ext="edit" aspectratio="f"/>
          </v:shape>
          <o:OLEObject Type="Embed" ProgID="Excel.Sheet.12" ShapeID="_x0000_i1055" DrawAspect="Content" ObjectID="_1448991413" r:id="rId86"/>
        </w:object>
      </w:r>
      <w:r w:rsidR="007A005F">
        <w:rPr>
          <w:lang w:val="de-DE"/>
        </w:rPr>
        <w:tab/>
      </w:r>
    </w:p>
    <w:p w:rsidR="00F01166" w:rsidRDefault="00F01166">
      <w:pPr>
        <w:pStyle w:val="Heading2"/>
        <w:numPr>
          <w:ilvl w:val="0"/>
          <w:numId w:val="0"/>
        </w:numPr>
        <w:ind w:left="426"/>
        <w:rPr>
          <w:b w:val="0"/>
        </w:rPr>
      </w:pPr>
    </w:p>
    <w:p w:rsidR="00F01166" w:rsidRDefault="008C782B">
      <w:pPr>
        <w:pStyle w:val="Heading2"/>
        <w:numPr>
          <w:ilvl w:val="0"/>
          <w:numId w:val="0"/>
        </w:numPr>
        <w:ind w:left="426"/>
        <w:jc w:val="both"/>
        <w:rPr>
          <w:b w:val="0"/>
          <w:lang w:val="de-DE"/>
        </w:rPr>
      </w:pPr>
      <w:r w:rsidRPr="008C782B">
        <w:rPr>
          <w:b w:val="0"/>
          <w:lang w:val="de-DE"/>
        </w:rPr>
        <w:t>Die Verbindlichkeiten aus de</w:t>
      </w:r>
      <w:r w:rsidR="00A657A4">
        <w:rPr>
          <w:b w:val="0"/>
          <w:lang w:val="de-DE"/>
        </w:rPr>
        <w:t>m</w:t>
      </w:r>
      <w:r w:rsidRPr="008C782B">
        <w:rPr>
          <w:b w:val="0"/>
          <w:lang w:val="de-DE"/>
        </w:rPr>
        <w:t xml:space="preserve"> Finanzierungs</w:t>
      </w:r>
      <w:r w:rsidR="00A657A4">
        <w:rPr>
          <w:b w:val="0"/>
          <w:lang w:val="de-DE"/>
        </w:rPr>
        <w:t>leasing</w:t>
      </w:r>
      <w:r w:rsidRPr="008C782B">
        <w:rPr>
          <w:b w:val="0"/>
          <w:lang w:val="de-DE"/>
        </w:rPr>
        <w:t xml:space="preserve"> werden mit dem Pfandrecht zu den Vermie</w:t>
      </w:r>
      <w:r w:rsidR="00A657A4">
        <w:rPr>
          <w:b w:val="0"/>
          <w:lang w:val="de-DE"/>
        </w:rPr>
        <w:t>t</w:t>
      </w:r>
      <w:r w:rsidRPr="008C782B">
        <w:rPr>
          <w:b w:val="0"/>
          <w:lang w:val="de-DE"/>
        </w:rPr>
        <w:t>ungsgegenständen bis zur Höhe von EUR 235 720 EUR gedeckt.</w:t>
      </w:r>
      <w:r w:rsidRPr="008C782B">
        <w:rPr>
          <w:b w:val="0"/>
          <w:lang w:val="de-DE"/>
        </w:rPr>
        <w:br w:type="page"/>
      </w:r>
    </w:p>
    <w:p w:rsidR="007A005F" w:rsidRPr="009D33FD" w:rsidRDefault="007A005F" w:rsidP="007A005F">
      <w:pPr>
        <w:pStyle w:val="Heading2"/>
        <w:rPr>
          <w:lang w:val="de-DE"/>
        </w:rPr>
      </w:pPr>
      <w:r w:rsidRPr="009D33FD">
        <w:rPr>
          <w:lang w:val="de-DE"/>
        </w:rPr>
        <w:lastRenderedPageBreak/>
        <w:t>Latente Steuerverbindlichkeit</w:t>
      </w:r>
    </w:p>
    <w:p w:rsidR="007A005F" w:rsidRPr="000224B8" w:rsidRDefault="007A005F" w:rsidP="007A005F">
      <w:pPr>
        <w:pStyle w:val="BodyText"/>
        <w:rPr>
          <w:lang w:val="de-DE"/>
        </w:rPr>
      </w:pPr>
    </w:p>
    <w:p w:rsidR="00E00091" w:rsidRDefault="007A005F" w:rsidP="007A005F">
      <w:pPr>
        <w:pStyle w:val="BodyText"/>
        <w:rPr>
          <w:lang w:val="de-DE"/>
        </w:rPr>
      </w:pPr>
      <w:r w:rsidRPr="000224B8">
        <w:rPr>
          <w:lang w:val="de-DE"/>
        </w:rPr>
        <w:t xml:space="preserve">Die Ermittlung der latenten Steuerverbindlichkeit wird in folgender Tabelle </w:t>
      </w:r>
      <w:r>
        <w:rPr>
          <w:lang w:val="de-DE"/>
        </w:rPr>
        <w:t>dargestellt</w:t>
      </w:r>
      <w:r w:rsidRPr="000224B8">
        <w:rPr>
          <w:lang w:val="de-DE"/>
        </w:rPr>
        <w:t xml:space="preserve">: </w:t>
      </w:r>
    </w:p>
    <w:p w:rsidR="00E00091" w:rsidRDefault="00252994" w:rsidP="00E00091">
      <w:pPr>
        <w:pStyle w:val="BodyText"/>
        <w:rPr>
          <w:i/>
          <w:szCs w:val="18"/>
          <w:u w:val="single"/>
        </w:rPr>
      </w:pPr>
      <w:r>
        <w:rPr>
          <w:i/>
          <w:szCs w:val="18"/>
          <w:u w:val="single"/>
        </w:rPr>
        <w:t>(</w:t>
      </w:r>
      <w:r w:rsidR="00E00091">
        <w:rPr>
          <w:i/>
          <w:szCs w:val="18"/>
          <w:u w:val="single"/>
        </w:rPr>
        <w:t>Der Inhalt, die Anzahl der Zeilen und Spalten in der Tabelle dürfen nicht geändert werden. Diese Information ist zu löschen.</w:t>
      </w:r>
      <w:r>
        <w:rPr>
          <w:i/>
          <w:szCs w:val="18"/>
          <w:u w:val="single"/>
        </w:rPr>
        <w:t>)</w:t>
      </w:r>
    </w:p>
    <w:p w:rsidR="007A005F" w:rsidRPr="000224B8" w:rsidRDefault="007A005F" w:rsidP="007A005F">
      <w:pPr>
        <w:pStyle w:val="BodyText"/>
        <w:rPr>
          <w:lang w:val="de-DE"/>
        </w:rPr>
      </w:pPr>
    </w:p>
    <w:p w:rsidR="007A005F" w:rsidRPr="00E00091" w:rsidRDefault="007A005F" w:rsidP="007A005F">
      <w:pPr>
        <w:pStyle w:val="BodyText"/>
      </w:pPr>
    </w:p>
    <w:bookmarkStart w:id="52" w:name="_MON_1410098273"/>
    <w:bookmarkEnd w:id="52"/>
    <w:p w:rsidR="007A005F" w:rsidRPr="007D2F0F" w:rsidRDefault="00CA395C" w:rsidP="007A005F">
      <w:pPr>
        <w:pStyle w:val="BodyText"/>
        <w:rPr>
          <w:lang w:val="de-DE"/>
        </w:rPr>
      </w:pPr>
      <w:r>
        <w:object w:dxaOrig="8940" w:dyaOrig="6988">
          <v:shape id="_x0000_i1084" type="#_x0000_t75" style="width:437.25pt;height:381.75pt" o:ole="" o:preferrelative="f">
            <v:imagedata r:id="rId87" o:title=""/>
            <o:lock v:ext="edit" aspectratio="f"/>
          </v:shape>
          <o:OLEObject Type="Embed" ProgID="Excel.Sheet.12" ShapeID="_x0000_i1084" DrawAspect="Content" ObjectID="_1448991414" r:id="rId88"/>
        </w:object>
      </w:r>
    </w:p>
    <w:p w:rsidR="00740B68" w:rsidRDefault="00740B68">
      <w:pPr>
        <w:pStyle w:val="BodyText"/>
        <w:rPr>
          <w:lang w:val="de-DE"/>
        </w:rPr>
      </w:pPr>
    </w:p>
    <w:p w:rsidR="00CA395C" w:rsidRDefault="00CA395C">
      <w:pPr>
        <w:pStyle w:val="BodyText"/>
        <w:rPr>
          <w:lang w:val="de-DE"/>
        </w:rPr>
      </w:pPr>
    </w:p>
    <w:p w:rsidR="002F0FA2" w:rsidRDefault="00687C63">
      <w:pPr>
        <w:pStyle w:val="BodyText"/>
        <w:rPr>
          <w:lang w:val="de-DE"/>
        </w:rPr>
      </w:pPr>
      <w:r w:rsidRPr="00687C63">
        <w:rPr>
          <w:lang w:val="de-DE"/>
        </w:rPr>
        <w:t>Der Betrag der latenten Steuerverbindlichkeit i.H.v. EUR  3 865 h</w:t>
      </w:r>
      <w:r w:rsidR="00867FDE" w:rsidRPr="00FA1252">
        <w:rPr>
          <w:lang w:val="de-DE"/>
        </w:rPr>
        <w:t>ä</w:t>
      </w:r>
      <w:r w:rsidRPr="00687C63">
        <w:rPr>
          <w:lang w:val="de-DE"/>
        </w:rPr>
        <w:t xml:space="preserve">ngt mit der Neubewertung der Sicherungsderivate zusammen und wurde in das Eigenkapital als Bewertungsdifferenzen aus der Neubewertung von Vernögensgegenständen und Verbindlichkeiten gebucht. </w:t>
      </w:r>
    </w:p>
    <w:p w:rsidR="0032231F" w:rsidRPr="00CB210A" w:rsidRDefault="0032231F" w:rsidP="00D04D91">
      <w:pPr>
        <w:pStyle w:val="BodyText"/>
        <w:rPr>
          <w:i/>
          <w:lang w:val="de-DE"/>
        </w:rPr>
      </w:pPr>
    </w:p>
    <w:p w:rsidR="00740B68" w:rsidRPr="00C15AAD" w:rsidRDefault="008C782B">
      <w:pPr>
        <w:spacing w:after="200" w:line="276" w:lineRule="auto"/>
        <w:rPr>
          <w:b/>
          <w:sz w:val="18"/>
          <w:lang w:val="de-DE"/>
        </w:rPr>
      </w:pPr>
      <w:r w:rsidRPr="008C782B">
        <w:rPr>
          <w:b/>
          <w:sz w:val="18"/>
          <w:lang w:val="de-DE"/>
        </w:rPr>
        <w:br w:type="page"/>
      </w:r>
    </w:p>
    <w:p w:rsidR="00D04D91" w:rsidRPr="00D16B95" w:rsidRDefault="00D04D91" w:rsidP="00D04D91">
      <w:pPr>
        <w:pStyle w:val="Heading2"/>
        <w:rPr>
          <w:lang w:val="de-DE"/>
        </w:rPr>
      </w:pPr>
      <w:r w:rsidRPr="00D16B95">
        <w:rPr>
          <w:lang w:val="de-DE"/>
        </w:rPr>
        <w:lastRenderedPageBreak/>
        <w:t>Sozialfond</w:t>
      </w:r>
    </w:p>
    <w:p w:rsidR="00D04D91" w:rsidRPr="00D16B95" w:rsidRDefault="00D04D91" w:rsidP="00D04D91">
      <w:pPr>
        <w:pStyle w:val="BodyText"/>
        <w:rPr>
          <w:lang w:val="de-DE"/>
        </w:rPr>
      </w:pPr>
    </w:p>
    <w:p w:rsidR="00D04D91" w:rsidRDefault="00D04D91" w:rsidP="00D04D91">
      <w:pPr>
        <w:pStyle w:val="BodyText"/>
        <w:rPr>
          <w:lang w:val="de-DE"/>
        </w:rPr>
      </w:pPr>
      <w:r w:rsidRPr="00D16B95">
        <w:rPr>
          <w:lang w:val="de-DE"/>
        </w:rPr>
        <w:t xml:space="preserve">Die Bildung (Dotierung) und Inanspruchnahme (Verwendung) des Sozialfonds während des Geschäftsjahres wird in folgender Tabelle </w:t>
      </w:r>
      <w:r>
        <w:rPr>
          <w:lang w:val="de-DE"/>
        </w:rPr>
        <w:t>gezeigt</w:t>
      </w:r>
      <w:r w:rsidRPr="00D16B95">
        <w:rPr>
          <w:lang w:val="de-DE"/>
        </w:rPr>
        <w:t xml:space="preserve">:  </w:t>
      </w:r>
    </w:p>
    <w:p w:rsidR="00E00091" w:rsidRDefault="00252994" w:rsidP="00E00091">
      <w:pPr>
        <w:pStyle w:val="BodyText"/>
        <w:rPr>
          <w:i/>
          <w:szCs w:val="18"/>
          <w:u w:val="single"/>
        </w:rPr>
      </w:pPr>
      <w:r>
        <w:rPr>
          <w:i/>
          <w:szCs w:val="18"/>
          <w:u w:val="single"/>
        </w:rPr>
        <w:t>(</w:t>
      </w:r>
      <w:r w:rsidR="00E00091">
        <w:rPr>
          <w:i/>
          <w:szCs w:val="18"/>
          <w:u w:val="single"/>
        </w:rPr>
        <w:t>Der Inhalt, die Anzahl der Zeilen und Spalten in der Tabelle dürfen nicht geändert werden. Diese Information ist zu löschen.</w:t>
      </w:r>
      <w:r>
        <w:rPr>
          <w:i/>
          <w:szCs w:val="18"/>
          <w:u w:val="single"/>
        </w:rPr>
        <w:t>)</w:t>
      </w:r>
    </w:p>
    <w:p w:rsidR="00E00091" w:rsidRDefault="00E00091" w:rsidP="00D04D91">
      <w:pPr>
        <w:pStyle w:val="BodyText"/>
        <w:rPr>
          <w:lang w:val="de-DE"/>
        </w:rPr>
      </w:pPr>
    </w:p>
    <w:p w:rsidR="00D20AB6" w:rsidRDefault="00D20AB6" w:rsidP="00D04D91">
      <w:pPr>
        <w:pStyle w:val="BodyText"/>
        <w:rPr>
          <w:lang w:val="de-DE"/>
        </w:rPr>
      </w:pPr>
    </w:p>
    <w:bookmarkStart w:id="53" w:name="_MON_1410098385"/>
    <w:bookmarkEnd w:id="53"/>
    <w:p w:rsidR="00D20AB6" w:rsidRPr="00D16B95" w:rsidRDefault="009D7197" w:rsidP="00D04D91">
      <w:pPr>
        <w:pStyle w:val="BodyText"/>
        <w:rPr>
          <w:lang w:val="de-DE"/>
        </w:rPr>
      </w:pPr>
      <w:r>
        <w:object w:dxaOrig="8927" w:dyaOrig="3042">
          <v:shape id="_x0000_i1056" type="#_x0000_t75" style="width:438.75pt;height:167.25pt" o:ole="" o:preferrelative="f">
            <v:imagedata r:id="rId89" o:title=""/>
            <o:lock v:ext="edit" aspectratio="f"/>
          </v:shape>
          <o:OLEObject Type="Embed" ProgID="Excel.Sheet.12" ShapeID="_x0000_i1056" DrawAspect="Content" ObjectID="_1448991415" r:id="rId90"/>
        </w:object>
      </w:r>
    </w:p>
    <w:p w:rsidR="001814FE" w:rsidRDefault="001814FE" w:rsidP="00A25722">
      <w:pPr>
        <w:pStyle w:val="BodyText"/>
        <w:rPr>
          <w:lang w:val="de-DE"/>
        </w:rPr>
      </w:pPr>
    </w:p>
    <w:p w:rsidR="00A25722" w:rsidRDefault="00A25722" w:rsidP="00A25722">
      <w:pPr>
        <w:pStyle w:val="BodyText"/>
        <w:rPr>
          <w:lang w:val="de-DE"/>
        </w:rPr>
      </w:pPr>
      <w:r w:rsidRPr="00D16B95">
        <w:rPr>
          <w:lang w:val="de-DE"/>
        </w:rPr>
        <w:t>Ein Teil des Sozialfonds ist gemäß Sozialfondgesetz zu Lasten der Aufwendungen zu bilden und ein Teil kann aus dem Gewinn nach Steuern gebildet werden. Der Sozialfond wird gemäß Sozialfondgesetz für Sozial-, Gesundheits-, Rekreations- und andere Bedürfnisse der Mitarbeiter verwendet.</w:t>
      </w:r>
    </w:p>
    <w:p w:rsidR="00F01166" w:rsidRDefault="00F01166">
      <w:pPr>
        <w:pStyle w:val="Heading2"/>
        <w:numPr>
          <w:ilvl w:val="0"/>
          <w:numId w:val="0"/>
        </w:numPr>
        <w:rPr>
          <w:b w:val="0"/>
          <w:lang w:val="de-DE"/>
        </w:rPr>
      </w:pPr>
    </w:p>
    <w:p w:rsidR="00AF1AAA" w:rsidRPr="00740B68" w:rsidRDefault="008C782B" w:rsidP="00740B68">
      <w:pPr>
        <w:pStyle w:val="Heading2"/>
        <w:rPr>
          <w:lang w:val="de-DE"/>
        </w:rPr>
      </w:pPr>
      <w:r w:rsidRPr="008C782B">
        <w:rPr>
          <w:lang w:val="de-DE"/>
        </w:rPr>
        <w:t>Ausgegebene Schuldscheine</w:t>
      </w:r>
    </w:p>
    <w:p w:rsidR="00E00091" w:rsidRPr="00C15AAD" w:rsidRDefault="00E00091" w:rsidP="00E00091">
      <w:pPr>
        <w:rPr>
          <w:sz w:val="18"/>
          <w:szCs w:val="18"/>
        </w:rPr>
      </w:pPr>
    </w:p>
    <w:p w:rsidR="00F01166" w:rsidRDefault="008C782B">
      <w:pPr>
        <w:spacing w:after="200" w:line="276" w:lineRule="auto"/>
        <w:ind w:left="426"/>
        <w:jc w:val="both"/>
        <w:rPr>
          <w:i/>
          <w:sz w:val="18"/>
          <w:szCs w:val="18"/>
        </w:rPr>
      </w:pPr>
      <w:r w:rsidRPr="008C782B">
        <w:rPr>
          <w:i/>
          <w:sz w:val="18"/>
          <w:szCs w:val="18"/>
        </w:rPr>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E00091" w:rsidRPr="00CA1B1A" w:rsidRDefault="00E00091" w:rsidP="00E00091">
      <w:pPr>
        <w:ind w:left="360"/>
        <w:jc w:val="both"/>
        <w:rPr>
          <w:i/>
          <w:sz w:val="18"/>
          <w:szCs w:val="18"/>
        </w:rPr>
      </w:pPr>
    </w:p>
    <w:p w:rsidR="00E00091" w:rsidRDefault="00C17A50" w:rsidP="00E00091">
      <w:pPr>
        <w:pStyle w:val="BodyText"/>
      </w:pPr>
      <w:r>
        <w:t>Die Informationen über ausgegebene Schuldscheine werden in der nachfolgenden Übersicht angeführt:</w:t>
      </w:r>
    </w:p>
    <w:p w:rsidR="000258A9" w:rsidRDefault="00252994" w:rsidP="000258A9">
      <w:pPr>
        <w:pStyle w:val="BodyText"/>
        <w:rPr>
          <w:i/>
          <w:szCs w:val="18"/>
          <w:u w:val="single"/>
        </w:rPr>
      </w:pPr>
      <w:r>
        <w:rPr>
          <w:i/>
          <w:szCs w:val="18"/>
          <w:u w:val="single"/>
        </w:rPr>
        <w:t>(</w:t>
      </w:r>
      <w:r w:rsidR="000258A9">
        <w:rPr>
          <w:i/>
          <w:szCs w:val="18"/>
          <w:u w:val="single"/>
        </w:rPr>
        <w:t>Der Inhalt und die Anzahl der Zeilen werden nach den Bedürfnissen der Buchführungseinheit geändert. Die Spalten dürfen nicht geändert werden. Diese Information ist zu löschen.</w:t>
      </w:r>
      <w:r>
        <w:rPr>
          <w:i/>
          <w:szCs w:val="18"/>
          <w:u w:val="single"/>
        </w:rPr>
        <w:t>)</w:t>
      </w:r>
    </w:p>
    <w:p w:rsidR="00E00091" w:rsidRDefault="00E00091" w:rsidP="00E00091">
      <w:pPr>
        <w:pStyle w:val="BodyText"/>
      </w:pPr>
    </w:p>
    <w:bookmarkStart w:id="54" w:name="_MON_1405948767"/>
    <w:bookmarkEnd w:id="54"/>
    <w:p w:rsidR="00E00091" w:rsidRDefault="006357B9" w:rsidP="00E00091">
      <w:pPr>
        <w:pStyle w:val="BodyText"/>
      </w:pPr>
      <w:r>
        <w:object w:dxaOrig="8823" w:dyaOrig="1862">
          <v:shape id="_x0000_i1057" type="#_x0000_t75" style="width:439.5pt;height:102.75pt" o:ole="" o:preferrelative="f">
            <v:imagedata r:id="rId91" o:title=""/>
            <o:lock v:ext="edit" aspectratio="f"/>
          </v:shape>
          <o:OLEObject Type="Embed" ProgID="Excel.Sheet.12" ShapeID="_x0000_i1057" DrawAspect="Content" ObjectID="_1448991416" r:id="rId92"/>
        </w:object>
      </w:r>
    </w:p>
    <w:p w:rsidR="00E00091" w:rsidRPr="00C15AAD" w:rsidRDefault="00E00091" w:rsidP="00A25722">
      <w:pPr>
        <w:pStyle w:val="BodyText"/>
        <w:rPr>
          <w:szCs w:val="18"/>
          <w:lang w:val="de-DE"/>
        </w:rPr>
      </w:pPr>
    </w:p>
    <w:p w:rsidR="00A25722" w:rsidRPr="00C15AAD" w:rsidRDefault="00A25722" w:rsidP="00A25722">
      <w:pPr>
        <w:pStyle w:val="BodyText"/>
        <w:rPr>
          <w:szCs w:val="18"/>
          <w:lang w:val="de-DE"/>
        </w:rPr>
      </w:pPr>
    </w:p>
    <w:p w:rsidR="00740B68" w:rsidRPr="00C15AAD" w:rsidRDefault="008C782B">
      <w:pPr>
        <w:spacing w:after="200" w:line="276" w:lineRule="auto"/>
        <w:rPr>
          <w:b/>
          <w:sz w:val="18"/>
          <w:szCs w:val="18"/>
          <w:lang w:val="de-DE"/>
        </w:rPr>
      </w:pPr>
      <w:bookmarkStart w:id="55" w:name="_Toc530739912"/>
      <w:r w:rsidRPr="008C782B">
        <w:rPr>
          <w:sz w:val="18"/>
          <w:szCs w:val="18"/>
          <w:lang w:val="de-DE"/>
        </w:rPr>
        <w:br w:type="page"/>
      </w:r>
    </w:p>
    <w:p w:rsidR="00A25722" w:rsidRPr="00D16B95" w:rsidRDefault="00A25722" w:rsidP="00A25722">
      <w:pPr>
        <w:pStyle w:val="Heading2"/>
        <w:rPr>
          <w:lang w:val="de-DE"/>
        </w:rPr>
      </w:pPr>
      <w:r w:rsidRPr="00D16B95">
        <w:rPr>
          <w:lang w:val="de-DE"/>
        </w:rPr>
        <w:lastRenderedPageBreak/>
        <w:t>Bank</w:t>
      </w:r>
      <w:bookmarkEnd w:id="55"/>
      <w:r w:rsidRPr="00D16B95">
        <w:rPr>
          <w:lang w:val="de-DE"/>
        </w:rPr>
        <w:t>kredite</w:t>
      </w:r>
    </w:p>
    <w:p w:rsidR="00A25722" w:rsidRPr="00D16B95" w:rsidRDefault="00A25722" w:rsidP="00A25722">
      <w:pPr>
        <w:pStyle w:val="BodyText"/>
        <w:rPr>
          <w:lang w:val="de-DE"/>
        </w:rPr>
      </w:pPr>
    </w:p>
    <w:p w:rsidR="00A25722" w:rsidRDefault="00A25722" w:rsidP="00A25722">
      <w:pPr>
        <w:pStyle w:val="BodyText"/>
        <w:rPr>
          <w:lang w:val="de-DE"/>
        </w:rPr>
      </w:pPr>
      <w:r w:rsidRPr="00185AEC">
        <w:rPr>
          <w:lang w:val="de-DE"/>
        </w:rPr>
        <w:t xml:space="preserve">Die </w:t>
      </w:r>
      <w:r w:rsidRPr="00216A41">
        <w:rPr>
          <w:lang w:val="de-DE"/>
        </w:rPr>
        <w:t>Struktur</w:t>
      </w:r>
      <w:r w:rsidRPr="00185AEC">
        <w:rPr>
          <w:lang w:val="de-DE"/>
        </w:rPr>
        <w:t xml:space="preserve"> der Bankkredite wird in folgender Übersicht aufgeführt:</w:t>
      </w:r>
    </w:p>
    <w:p w:rsidR="00740B68" w:rsidRDefault="00252994" w:rsidP="00740B68">
      <w:pPr>
        <w:pStyle w:val="BodyText"/>
        <w:rPr>
          <w:i/>
          <w:szCs w:val="18"/>
          <w:u w:val="single"/>
        </w:rPr>
      </w:pPr>
      <w:r>
        <w:rPr>
          <w:i/>
          <w:szCs w:val="18"/>
          <w:u w:val="single"/>
        </w:rPr>
        <w:t>(</w:t>
      </w:r>
      <w:r w:rsidR="00740B68">
        <w:rPr>
          <w:i/>
          <w:szCs w:val="18"/>
          <w:u w:val="single"/>
        </w:rPr>
        <w:t>Der Inhalt und die Anzahl der Zeilen werden nach den Bedürfnissen der Buchführungseinheit geändert. Die Spalten dürfen nicht geändert werden. Diese Information ist zu löschen.</w:t>
      </w:r>
      <w:r>
        <w:rPr>
          <w:i/>
          <w:szCs w:val="18"/>
          <w:u w:val="single"/>
        </w:rPr>
        <w:t>)</w:t>
      </w:r>
    </w:p>
    <w:p w:rsidR="00164B94" w:rsidRDefault="00164B94" w:rsidP="00A25722">
      <w:pPr>
        <w:pStyle w:val="BodyText"/>
        <w:rPr>
          <w:lang w:val="de-DE"/>
        </w:rPr>
      </w:pPr>
    </w:p>
    <w:bookmarkStart w:id="56" w:name="_MON_1410443030"/>
    <w:bookmarkEnd w:id="56"/>
    <w:p w:rsidR="00A25722" w:rsidRPr="002802EE" w:rsidRDefault="00591F47" w:rsidP="00A25722">
      <w:pPr>
        <w:pStyle w:val="BodyText"/>
        <w:rPr>
          <w:lang w:val="de-DE"/>
        </w:rPr>
      </w:pPr>
      <w:r w:rsidRPr="00FD4736">
        <w:object w:dxaOrig="9119" w:dyaOrig="4935">
          <v:shape id="_x0000_i1058" type="#_x0000_t75" style="width:445.5pt;height:268.5pt" o:ole="" o:preferrelative="f">
            <v:imagedata r:id="rId93" o:title=""/>
            <o:lock v:ext="edit" aspectratio="f"/>
          </v:shape>
          <o:OLEObject Type="Embed" ProgID="Excel.Sheet.12" ShapeID="_x0000_i1058" DrawAspect="Content" ObjectID="_1448991417" r:id="rId94"/>
        </w:object>
      </w:r>
      <w:r w:rsidR="00A25722" w:rsidRPr="002802EE">
        <w:rPr>
          <w:lang w:val="de-DE"/>
        </w:rPr>
        <w:t xml:space="preserve">Der ursprüngliche Investitionskredit für ein Gebäude i.H.v. </w:t>
      </w:r>
      <w:r w:rsidR="00A25722" w:rsidRPr="009D33FD">
        <w:rPr>
          <w:lang w:val="de-DE"/>
        </w:rPr>
        <w:t xml:space="preserve">EUR </w:t>
      </w:r>
      <w:r w:rsidR="00A25722">
        <w:t>497 908</w:t>
      </w:r>
      <w:r w:rsidR="00A25722" w:rsidRPr="009D33FD">
        <w:rPr>
          <w:lang w:val="de-DE"/>
        </w:rPr>
        <w:t xml:space="preserve"> </w:t>
      </w:r>
      <w:r w:rsidR="00A25722" w:rsidRPr="002802EE">
        <w:rPr>
          <w:lang w:val="de-DE"/>
        </w:rPr>
        <w:t>wurde zurückgezahlt und durch ein</w:t>
      </w:r>
      <w:r w:rsidR="00A25722">
        <w:rPr>
          <w:lang w:val="de-DE"/>
        </w:rPr>
        <w:t xml:space="preserve">en Kredit i.H.v. EUR </w:t>
      </w:r>
      <w:bookmarkStart w:id="57" w:name="OLE_LINK19"/>
      <w:bookmarkStart w:id="58" w:name="OLE_LINK20"/>
      <w:r w:rsidR="00A25722">
        <w:rPr>
          <w:lang w:val="de-DE"/>
        </w:rPr>
        <w:t>257 252</w:t>
      </w:r>
      <w:bookmarkEnd w:id="57"/>
      <w:bookmarkEnd w:id="58"/>
      <w:r w:rsidR="00A25722">
        <w:rPr>
          <w:lang w:val="de-DE"/>
        </w:rPr>
        <w:t xml:space="preserve"> ersetzt</w:t>
      </w:r>
      <w:r w:rsidR="00A25722" w:rsidRPr="002802EE">
        <w:rPr>
          <w:lang w:val="de-DE"/>
        </w:rPr>
        <w:t>.</w:t>
      </w:r>
    </w:p>
    <w:p w:rsidR="00A25722" w:rsidRPr="002802EE" w:rsidRDefault="00A25722" w:rsidP="00A25722">
      <w:pPr>
        <w:pStyle w:val="BodyText"/>
        <w:rPr>
          <w:lang w:val="de-DE"/>
        </w:rPr>
      </w:pPr>
    </w:p>
    <w:p w:rsidR="00A25722" w:rsidRPr="002802EE" w:rsidRDefault="00A25722" w:rsidP="00A25722">
      <w:pPr>
        <w:pStyle w:val="BodyText"/>
        <w:rPr>
          <w:lang w:val="de-DE"/>
        </w:rPr>
      </w:pPr>
      <w:r w:rsidRPr="002802EE">
        <w:rPr>
          <w:lang w:val="de-DE"/>
        </w:rPr>
        <w:t xml:space="preserve">Der revolvierende Kredit i.H.v. </w:t>
      </w:r>
      <w:r w:rsidRPr="009D33FD">
        <w:rPr>
          <w:lang w:val="de-DE"/>
        </w:rPr>
        <w:t>EUR 899</w:t>
      </w:r>
      <w:r w:rsidR="0077556B">
        <w:rPr>
          <w:lang w:val="de-DE"/>
        </w:rPr>
        <w:t xml:space="preserve"> </w:t>
      </w:r>
      <w:r w:rsidRPr="009D33FD">
        <w:rPr>
          <w:lang w:val="de-DE"/>
        </w:rPr>
        <w:t xml:space="preserve">157 </w:t>
      </w:r>
      <w:r w:rsidRPr="002802EE">
        <w:rPr>
          <w:color w:val="000000"/>
          <w:lang w:val="de-DE"/>
        </w:rPr>
        <w:t>für Forderungen bis zur Fälligkeit</w:t>
      </w:r>
      <w:r w:rsidRPr="002802EE">
        <w:rPr>
          <w:lang w:val="de-DE"/>
        </w:rPr>
        <w:t xml:space="preserve"> ist durch Forderungen i.H.v. </w:t>
      </w:r>
      <w:r w:rsidRPr="009D33FD">
        <w:rPr>
          <w:lang w:val="de-DE"/>
        </w:rPr>
        <w:t xml:space="preserve">EUR </w:t>
      </w:r>
      <w:r>
        <w:rPr>
          <w:lang w:val="de-DE"/>
        </w:rPr>
        <w:br/>
      </w:r>
      <w:r w:rsidR="00C17A50">
        <w:t>235 278</w:t>
      </w:r>
      <w:r w:rsidR="00C17A50">
        <w:rPr>
          <w:lang w:val="de-DE"/>
        </w:rPr>
        <w:t>, Vorräte i.H.v. EUR 332 000 und Anteile am Tochterunternehmen ABC Motoren SR, s.</w:t>
      </w:r>
      <w:r w:rsidR="00252994">
        <w:rPr>
          <w:lang w:val="de-DE"/>
        </w:rPr>
        <w:t xml:space="preserve"> </w:t>
      </w:r>
      <w:r w:rsidR="00C17A50">
        <w:rPr>
          <w:lang w:val="de-DE"/>
        </w:rPr>
        <w:t>r.</w:t>
      </w:r>
      <w:r w:rsidR="00252994">
        <w:rPr>
          <w:lang w:val="de-DE"/>
        </w:rPr>
        <w:t xml:space="preserve"> </w:t>
      </w:r>
      <w:r w:rsidR="00C17A50">
        <w:rPr>
          <w:lang w:val="de-DE"/>
        </w:rPr>
        <w:t xml:space="preserve">o., Martin, </w:t>
      </w:r>
      <w:r w:rsidR="00C17A50">
        <w:t>i.H.v. EUR 298 745.</w:t>
      </w:r>
      <w:r w:rsidR="00C17A50">
        <w:rPr>
          <w:lang w:val="de-DE"/>
        </w:rPr>
        <w:t>gesichert.</w:t>
      </w:r>
      <w:r w:rsidRPr="002802EE">
        <w:rPr>
          <w:lang w:val="de-DE"/>
        </w:rPr>
        <w:t xml:space="preserve"> </w:t>
      </w:r>
    </w:p>
    <w:p w:rsidR="00A25722" w:rsidRPr="002802EE" w:rsidRDefault="00A25722" w:rsidP="00A25722">
      <w:pPr>
        <w:pStyle w:val="BodyText"/>
        <w:rPr>
          <w:lang w:val="de-DE"/>
        </w:rPr>
      </w:pPr>
    </w:p>
    <w:p w:rsidR="00A25722" w:rsidRPr="002802EE" w:rsidRDefault="00A25722" w:rsidP="00A25722">
      <w:pPr>
        <w:pStyle w:val="BodyText"/>
        <w:rPr>
          <w:lang w:val="de-DE"/>
        </w:rPr>
      </w:pPr>
      <w:r w:rsidRPr="002802EE">
        <w:rPr>
          <w:lang w:val="de-DE"/>
        </w:rPr>
        <w:t xml:space="preserve">Zur Sicherung des Investitionskredites i.H.v. </w:t>
      </w:r>
      <w:r w:rsidRPr="009D33FD">
        <w:rPr>
          <w:lang w:val="de-DE"/>
        </w:rPr>
        <w:t>EUR 33</w:t>
      </w:r>
      <w:r>
        <w:rPr>
          <w:lang w:val="de-DE"/>
        </w:rPr>
        <w:t>1 94</w:t>
      </w:r>
      <w:r w:rsidRPr="009D33FD">
        <w:rPr>
          <w:lang w:val="de-DE"/>
        </w:rPr>
        <w:t xml:space="preserve">0 </w:t>
      </w:r>
      <w:r w:rsidRPr="002802EE">
        <w:rPr>
          <w:color w:val="000000"/>
          <w:lang w:val="de-DE"/>
        </w:rPr>
        <w:t>für zwei Fertigungslinien</w:t>
      </w:r>
      <w:r w:rsidRPr="002802EE">
        <w:rPr>
          <w:lang w:val="de-DE"/>
        </w:rPr>
        <w:t xml:space="preserve"> wurde zu Gunsten der Bank ein Pfandrecht auf eine Fertigungslinie errichtet. Der Restbuchwert dieser Fertigungslinie beträgt zum 31. Dezember </w:t>
      </w:r>
      <w:r w:rsidR="007A171F">
        <w:rPr>
          <w:lang w:val="de-DE"/>
        </w:rPr>
        <w:t>201</w:t>
      </w:r>
      <w:r w:rsidR="001D4082">
        <w:rPr>
          <w:lang w:val="de-DE"/>
        </w:rPr>
        <w:t>3</w:t>
      </w:r>
      <w:r w:rsidR="007A171F" w:rsidRPr="002802EE">
        <w:rPr>
          <w:lang w:val="de-DE"/>
        </w:rPr>
        <w:t xml:space="preserve"> </w:t>
      </w:r>
      <w:r w:rsidRPr="009D33FD">
        <w:rPr>
          <w:lang w:val="de-DE"/>
        </w:rPr>
        <w:t>EUR 829</w:t>
      </w:r>
      <w:r>
        <w:rPr>
          <w:lang w:val="de-DE"/>
        </w:rPr>
        <w:t xml:space="preserve"> </w:t>
      </w:r>
      <w:r w:rsidRPr="009D33FD">
        <w:rPr>
          <w:lang w:val="de-DE"/>
        </w:rPr>
        <w:t>848</w:t>
      </w:r>
      <w:r w:rsidRPr="002802EE">
        <w:rPr>
          <w:lang w:val="de-DE"/>
        </w:rPr>
        <w:t>. Das rechtliche Eigentum auf die andere Fertigungslinie, deren Restbuchwert zum 31. Dezemb</w:t>
      </w:r>
      <w:r>
        <w:rPr>
          <w:lang w:val="de-DE"/>
        </w:rPr>
        <w:t xml:space="preserve">er </w:t>
      </w:r>
      <w:r w:rsidR="007A171F">
        <w:rPr>
          <w:lang w:val="de-DE"/>
        </w:rPr>
        <w:t>201</w:t>
      </w:r>
      <w:r w:rsidR="001D4082">
        <w:rPr>
          <w:lang w:val="de-DE"/>
        </w:rPr>
        <w:t>3</w:t>
      </w:r>
      <w:r w:rsidR="007A171F" w:rsidRPr="002802EE">
        <w:rPr>
          <w:lang w:val="de-DE"/>
        </w:rPr>
        <w:t xml:space="preserve"> </w:t>
      </w:r>
      <w:r w:rsidRPr="009D33FD">
        <w:rPr>
          <w:lang w:val="de-DE"/>
        </w:rPr>
        <w:t>EUR 829</w:t>
      </w:r>
      <w:r>
        <w:rPr>
          <w:lang w:val="de-DE"/>
        </w:rPr>
        <w:t xml:space="preserve"> </w:t>
      </w:r>
      <w:r w:rsidRPr="009D33FD">
        <w:rPr>
          <w:lang w:val="de-DE"/>
        </w:rPr>
        <w:t xml:space="preserve">848 </w:t>
      </w:r>
      <w:r w:rsidRPr="002802EE">
        <w:rPr>
          <w:lang w:val="de-DE"/>
        </w:rPr>
        <w:t xml:space="preserve">beträgt, hat die Bank durch den Vertrag über die Sicherungsübereignung erworben und diese Linie wird von der </w:t>
      </w:r>
      <w:r>
        <w:rPr>
          <w:lang w:val="de-DE"/>
        </w:rPr>
        <w:t>Gesellschaft</w:t>
      </w:r>
      <w:r w:rsidRPr="002802EE">
        <w:rPr>
          <w:lang w:val="de-DE"/>
        </w:rPr>
        <w:t xml:space="preserve"> </w:t>
      </w:r>
      <w:r w:rsidRPr="00216A41">
        <w:rPr>
          <w:lang w:val="de-DE"/>
        </w:rPr>
        <w:t>auf Grund</w:t>
      </w:r>
      <w:r w:rsidRPr="0020596A">
        <w:rPr>
          <w:color w:val="FF0000"/>
          <w:lang w:val="de-DE"/>
        </w:rPr>
        <w:t xml:space="preserve"> </w:t>
      </w:r>
      <w:r w:rsidRPr="002802EE">
        <w:rPr>
          <w:lang w:val="de-DE"/>
        </w:rPr>
        <w:t>des Ausleihungsvertrages unentgeltlich genutzt.</w:t>
      </w:r>
    </w:p>
    <w:p w:rsidR="00A25722" w:rsidRPr="007D4ACD" w:rsidRDefault="00A25722" w:rsidP="00A25722">
      <w:pPr>
        <w:pStyle w:val="BodyText"/>
        <w:rPr>
          <w:lang w:val="de-DE"/>
        </w:rPr>
      </w:pPr>
    </w:p>
    <w:p w:rsidR="00F869ED" w:rsidRDefault="00A25722" w:rsidP="009D1A04">
      <w:pPr>
        <w:pStyle w:val="BodyText"/>
        <w:rPr>
          <w:lang w:val="de-DE"/>
        </w:rPr>
      </w:pPr>
      <w:r w:rsidRPr="007D4ACD">
        <w:rPr>
          <w:lang w:val="de-DE"/>
        </w:rPr>
        <w:t>Die Garantie für den Inve</w:t>
      </w:r>
      <w:r>
        <w:rPr>
          <w:lang w:val="de-DE"/>
        </w:rPr>
        <w:t>stitionskredit i.H.v. EUR 257 252</w:t>
      </w:r>
      <w:r w:rsidRPr="007D4ACD">
        <w:rPr>
          <w:lang w:val="de-DE"/>
        </w:rPr>
        <w:t xml:space="preserve"> für das Gebäude hat die Muttergesellschaft ABC Produktion GmbH, Berlin, gewährt.</w:t>
      </w:r>
    </w:p>
    <w:p w:rsidR="00F869ED" w:rsidRDefault="00F869ED" w:rsidP="009D1A04">
      <w:pPr>
        <w:pStyle w:val="BodyText"/>
        <w:rPr>
          <w:lang w:val="de-DE"/>
        </w:rPr>
      </w:pPr>
    </w:p>
    <w:p w:rsidR="00740B68" w:rsidRDefault="00740B68">
      <w:pPr>
        <w:spacing w:after="200" w:line="276" w:lineRule="auto"/>
        <w:rPr>
          <w:i/>
          <w:sz w:val="18"/>
          <w:szCs w:val="18"/>
          <w:highlight w:val="green"/>
        </w:rPr>
      </w:pPr>
      <w:r>
        <w:rPr>
          <w:i/>
          <w:sz w:val="18"/>
          <w:szCs w:val="18"/>
          <w:highlight w:val="green"/>
        </w:rPr>
        <w:br w:type="page"/>
      </w:r>
    </w:p>
    <w:p w:rsidR="00F869ED" w:rsidRPr="00CA1B1A" w:rsidRDefault="008C782B" w:rsidP="00F869ED">
      <w:pPr>
        <w:spacing w:after="200" w:line="276" w:lineRule="auto"/>
        <w:ind w:left="426"/>
        <w:jc w:val="both"/>
        <w:rPr>
          <w:i/>
          <w:sz w:val="18"/>
          <w:szCs w:val="18"/>
        </w:rPr>
      </w:pPr>
      <w:r w:rsidRPr="008C782B">
        <w:rPr>
          <w:i/>
          <w:sz w:val="18"/>
          <w:szCs w:val="18"/>
        </w:rPr>
        <w:lastRenderedPageBreak/>
        <w:t xml:space="preserve">In unserem illustrativen Jahresabschluss haben wir keinen Inhalt für die Tabelle unten, sie wird für den Fall angeführt, in dem die Buchführungseinheit einen Inhalt für sie hat. Wenn die Buchführungseinheit einen Inhalt für sie hat, hat sie in dieser die erforderlichen Informationen anzugeben. </w:t>
      </w:r>
      <w:r w:rsidR="00D753DD">
        <w:rPr>
          <w:i/>
          <w:sz w:val="18"/>
          <w:szCs w:val="18"/>
        </w:rPr>
        <w:t>Andernfalls</w:t>
      </w:r>
      <w:r w:rsidRPr="008C782B">
        <w:rPr>
          <w:i/>
          <w:sz w:val="18"/>
          <w:szCs w:val="18"/>
        </w:rPr>
        <w:t xml:space="preserve"> ist sie inklusive dieser Information zu löschen. </w:t>
      </w:r>
    </w:p>
    <w:p w:rsidR="00F869ED" w:rsidRPr="00CA1B1A" w:rsidRDefault="00F869ED" w:rsidP="00F869ED">
      <w:pPr>
        <w:pStyle w:val="BodyText"/>
      </w:pPr>
    </w:p>
    <w:p w:rsidR="00F869ED" w:rsidRDefault="00C17A50" w:rsidP="00F869ED">
      <w:pPr>
        <w:pStyle w:val="BodyText"/>
      </w:pPr>
      <w:r>
        <w:t>Die Struktur der Darlehen wird in folgender Übersicht angeführt:</w:t>
      </w:r>
      <w:r w:rsidR="00F869ED">
        <w:t xml:space="preserve"> </w:t>
      </w:r>
      <w:r w:rsidR="00F869ED" w:rsidRPr="00BF5606">
        <w:t xml:space="preserve"> </w:t>
      </w:r>
    </w:p>
    <w:p w:rsidR="00F869ED" w:rsidRDefault="00252994" w:rsidP="00F869ED">
      <w:pPr>
        <w:pStyle w:val="BodyText"/>
        <w:rPr>
          <w:i/>
          <w:szCs w:val="18"/>
          <w:u w:val="single"/>
        </w:rPr>
      </w:pPr>
      <w:r>
        <w:rPr>
          <w:i/>
          <w:szCs w:val="18"/>
          <w:u w:val="single"/>
        </w:rPr>
        <w:t>(</w:t>
      </w:r>
      <w:r w:rsidR="00F869ED">
        <w:rPr>
          <w:i/>
          <w:szCs w:val="18"/>
          <w:u w:val="single"/>
        </w:rPr>
        <w:t>Der Inhalt und die Anzahl der Zeilen werden nach den Bedürfnissen der Buchführungseinheit geändert. Die Spalten dürfen nicht geändert werden. Diese Information ist zu löschen.</w:t>
      </w:r>
      <w:r>
        <w:rPr>
          <w:i/>
          <w:szCs w:val="18"/>
          <w:u w:val="single"/>
        </w:rPr>
        <w:t>)</w:t>
      </w:r>
    </w:p>
    <w:p w:rsidR="00F869ED" w:rsidRDefault="00F869ED" w:rsidP="00F869ED">
      <w:pPr>
        <w:pStyle w:val="BodyText"/>
      </w:pPr>
    </w:p>
    <w:bookmarkStart w:id="59" w:name="_MON_1405949393"/>
    <w:bookmarkEnd w:id="59"/>
    <w:p w:rsidR="00F869ED" w:rsidRDefault="00591F47" w:rsidP="00F869ED">
      <w:pPr>
        <w:pStyle w:val="BodyText"/>
      </w:pPr>
      <w:r w:rsidRPr="00FD4736">
        <w:object w:dxaOrig="8798" w:dyaOrig="7014">
          <v:shape id="_x0000_i1059" type="#_x0000_t75" style="width:430.5pt;height:383.25pt" o:ole="" o:preferrelative="f">
            <v:imagedata r:id="rId95" o:title=""/>
            <o:lock v:ext="edit" aspectratio="f"/>
          </v:shape>
          <o:OLEObject Type="Embed" ProgID="Excel.Sheet.12" ShapeID="_x0000_i1059" DrawAspect="Content" ObjectID="_1448991418" r:id="rId96"/>
        </w:object>
      </w:r>
    </w:p>
    <w:p w:rsidR="00F01166" w:rsidRDefault="00F01166">
      <w:pPr>
        <w:spacing w:after="200" w:line="276" w:lineRule="auto"/>
        <w:rPr>
          <w:b/>
          <w:lang w:val="de-DE"/>
        </w:rPr>
      </w:pPr>
    </w:p>
    <w:p w:rsidR="00740B68" w:rsidRPr="00C15AAD" w:rsidRDefault="008C782B">
      <w:pPr>
        <w:spacing w:after="200" w:line="276" w:lineRule="auto"/>
        <w:rPr>
          <w:b/>
          <w:sz w:val="18"/>
          <w:lang w:val="de-DE"/>
        </w:rPr>
      </w:pPr>
      <w:r w:rsidRPr="008C782B">
        <w:rPr>
          <w:b/>
          <w:sz w:val="18"/>
          <w:lang w:val="de-DE"/>
        </w:rPr>
        <w:br w:type="page"/>
      </w:r>
    </w:p>
    <w:p w:rsidR="00A25722" w:rsidRPr="007D4ACD" w:rsidRDefault="00A25722" w:rsidP="00A25722">
      <w:pPr>
        <w:pStyle w:val="Heading2"/>
        <w:rPr>
          <w:lang w:val="de-DE"/>
        </w:rPr>
      </w:pPr>
      <w:r w:rsidRPr="007D4ACD">
        <w:rPr>
          <w:lang w:val="de-DE"/>
        </w:rPr>
        <w:lastRenderedPageBreak/>
        <w:t>Zeitliche Abgrenzung</w:t>
      </w:r>
    </w:p>
    <w:p w:rsidR="00A25722" w:rsidRPr="007351A7" w:rsidRDefault="00A25722" w:rsidP="00A25722">
      <w:pPr>
        <w:pStyle w:val="BodyText"/>
        <w:rPr>
          <w:lang w:val="de-DE"/>
        </w:rPr>
      </w:pPr>
    </w:p>
    <w:p w:rsidR="00BB0E2D" w:rsidRDefault="00A25722" w:rsidP="00A25722">
      <w:pPr>
        <w:pStyle w:val="BodyText"/>
        <w:rPr>
          <w:lang w:val="de-DE"/>
        </w:rPr>
      </w:pPr>
      <w:r w:rsidRPr="007351A7">
        <w:rPr>
          <w:lang w:val="de-DE"/>
        </w:rPr>
        <w:t>Die Struktur der zeitlichen Abgrenzung wird in folgender Tabelle gezeigt.</w:t>
      </w:r>
    </w:p>
    <w:p w:rsidR="005978C8" w:rsidRDefault="00252994" w:rsidP="005978C8">
      <w:pPr>
        <w:pStyle w:val="BodyText"/>
        <w:rPr>
          <w:i/>
          <w:szCs w:val="18"/>
          <w:u w:val="single"/>
        </w:rPr>
      </w:pPr>
      <w:r>
        <w:rPr>
          <w:i/>
          <w:szCs w:val="18"/>
          <w:u w:val="single"/>
        </w:rPr>
        <w:t>(</w:t>
      </w:r>
      <w:r w:rsidR="005978C8">
        <w:rPr>
          <w:i/>
          <w:szCs w:val="18"/>
          <w:u w:val="single"/>
        </w:rPr>
        <w:t>(Verpflichtende Angaben. Die Form und die Art der Angabe der Informationen sind nicht vorgeschrieben.. Diese Information ist zu löschen.)</w:t>
      </w:r>
    </w:p>
    <w:p w:rsidR="006F09D4" w:rsidRPr="006F09D4" w:rsidRDefault="006F09D4" w:rsidP="00A25722">
      <w:pPr>
        <w:pStyle w:val="BodyText"/>
      </w:pPr>
    </w:p>
    <w:p w:rsidR="00BB0E2D" w:rsidRDefault="00BB0E2D" w:rsidP="00A25722">
      <w:pPr>
        <w:pStyle w:val="BodyText"/>
        <w:rPr>
          <w:lang w:val="de-DE"/>
        </w:rPr>
      </w:pPr>
    </w:p>
    <w:bookmarkStart w:id="60" w:name="_MON_1410102148"/>
    <w:bookmarkEnd w:id="60"/>
    <w:p w:rsidR="00BB0E2D" w:rsidRPr="009D33FD" w:rsidRDefault="001D4082" w:rsidP="00A25722">
      <w:pPr>
        <w:pStyle w:val="BodyText"/>
        <w:rPr>
          <w:lang w:val="de-DE"/>
        </w:rPr>
      </w:pPr>
      <w:r w:rsidRPr="00167134">
        <w:object w:dxaOrig="8810" w:dyaOrig="4419">
          <v:shape id="_x0000_i1060" type="#_x0000_t75" style="width:438pt;height:245.25pt" o:ole="" o:preferrelative="f">
            <v:imagedata r:id="rId97" o:title=""/>
            <o:lock v:ext="edit" aspectratio="f"/>
          </v:shape>
          <o:OLEObject Type="Embed" ProgID="Excel.Sheet.12" ShapeID="_x0000_i1060" DrawAspect="Content" ObjectID="_1448991419" r:id="rId98"/>
        </w:object>
      </w:r>
      <w:r w:rsidR="00A25722" w:rsidRPr="009D33FD">
        <w:rPr>
          <w:lang w:val="de-DE"/>
        </w:rPr>
        <w:t>Die Auflösung der Zuschüsse aus dem Staatshaushalt zur Anschaffung von Sachanlagen und zur Wirtschaftstätigkeit wird im Rahmen der sonstigen Erträge aus der Wirtschaftstätigkeit ausgewiesen.</w:t>
      </w:r>
    </w:p>
    <w:p w:rsidR="00687C63" w:rsidRDefault="00687C63" w:rsidP="00687C63">
      <w:pPr>
        <w:pStyle w:val="BodyText"/>
        <w:rPr>
          <w:lang w:val="de-DE"/>
        </w:rPr>
      </w:pPr>
    </w:p>
    <w:p w:rsidR="00687C63" w:rsidRPr="00C15AAD" w:rsidRDefault="00687C63" w:rsidP="00687C63">
      <w:pPr>
        <w:pStyle w:val="BodyText"/>
        <w:rPr>
          <w:szCs w:val="18"/>
          <w:lang w:val="de-DE"/>
        </w:rPr>
      </w:pPr>
    </w:p>
    <w:p w:rsidR="001814FE" w:rsidRPr="00C15AAD" w:rsidRDefault="008C782B">
      <w:pPr>
        <w:spacing w:after="200" w:line="276" w:lineRule="auto"/>
        <w:rPr>
          <w:b/>
          <w:sz w:val="18"/>
          <w:szCs w:val="18"/>
          <w:lang w:val="de-DE"/>
        </w:rPr>
      </w:pPr>
      <w:r w:rsidRPr="008C782B">
        <w:rPr>
          <w:sz w:val="18"/>
          <w:szCs w:val="18"/>
          <w:lang w:val="de-DE"/>
        </w:rPr>
        <w:br w:type="page"/>
      </w:r>
    </w:p>
    <w:p w:rsidR="00BB0E2D" w:rsidRPr="00DE3DD4" w:rsidRDefault="00687C63" w:rsidP="00BB0E2D">
      <w:pPr>
        <w:pStyle w:val="Heading2"/>
        <w:rPr>
          <w:lang w:val="de-DE"/>
        </w:rPr>
      </w:pPr>
      <w:r w:rsidRPr="00687C63">
        <w:rPr>
          <w:lang w:val="de-DE"/>
        </w:rPr>
        <w:lastRenderedPageBreak/>
        <w:t>Derivate</w:t>
      </w:r>
    </w:p>
    <w:p w:rsidR="00BB0E2D" w:rsidRPr="00DE3DD4" w:rsidRDefault="00BB0E2D" w:rsidP="00BB0E2D">
      <w:pPr>
        <w:pStyle w:val="BodyText"/>
        <w:rPr>
          <w:lang w:val="de-DE"/>
        </w:rPr>
      </w:pPr>
    </w:p>
    <w:p w:rsidR="00F01166" w:rsidRDefault="0023480A">
      <w:pPr>
        <w:ind w:left="426"/>
        <w:jc w:val="both"/>
        <w:rPr>
          <w:sz w:val="18"/>
          <w:szCs w:val="18"/>
          <w:lang w:val="de-DE"/>
        </w:rPr>
      </w:pPr>
      <w:r w:rsidRPr="00C15AAD">
        <w:rPr>
          <w:sz w:val="18"/>
          <w:szCs w:val="18"/>
          <w:lang w:val="de-DE"/>
        </w:rPr>
        <w:t>Die Gesellschaft hat mit der Bank einen Währungsforward zum Einkauf von USD abgeschlossen. Der Forward wurde am 1</w:t>
      </w:r>
      <w:r w:rsidR="00C17A50" w:rsidRPr="00C17A50">
        <w:rPr>
          <w:sz w:val="18"/>
          <w:szCs w:val="18"/>
          <w:lang w:val="de-DE"/>
        </w:rPr>
        <w:t xml:space="preserve">4. März </w:t>
      </w:r>
      <w:r w:rsidR="00A308FD" w:rsidRPr="00A308FD">
        <w:rPr>
          <w:sz w:val="18"/>
          <w:szCs w:val="18"/>
          <w:lang w:val="de-DE"/>
        </w:rPr>
        <w:t>201</w:t>
      </w:r>
      <w:r w:rsidR="001D4082">
        <w:rPr>
          <w:sz w:val="18"/>
          <w:szCs w:val="18"/>
          <w:lang w:val="de-DE"/>
        </w:rPr>
        <w:t>3</w:t>
      </w:r>
      <w:r w:rsidR="00A308FD" w:rsidRPr="00A308FD">
        <w:rPr>
          <w:sz w:val="18"/>
          <w:szCs w:val="18"/>
          <w:lang w:val="de-DE"/>
        </w:rPr>
        <w:t xml:space="preserve"> </w:t>
      </w:r>
      <w:r w:rsidR="00304F68" w:rsidRPr="00304F68">
        <w:rPr>
          <w:sz w:val="18"/>
          <w:szCs w:val="18"/>
          <w:lang w:val="de-DE"/>
        </w:rPr>
        <w:t xml:space="preserve">vereinbart und ist am 13. März </w:t>
      </w:r>
      <w:r w:rsidR="00304960" w:rsidRPr="00304960">
        <w:rPr>
          <w:sz w:val="18"/>
          <w:szCs w:val="18"/>
          <w:lang w:val="de-DE"/>
        </w:rPr>
        <w:t>201</w:t>
      </w:r>
      <w:r w:rsidR="001D4082">
        <w:rPr>
          <w:sz w:val="18"/>
          <w:szCs w:val="18"/>
          <w:lang w:val="de-DE"/>
        </w:rPr>
        <w:t>4</w:t>
      </w:r>
      <w:r w:rsidR="00304960" w:rsidRPr="00304960">
        <w:rPr>
          <w:sz w:val="18"/>
          <w:szCs w:val="18"/>
          <w:lang w:val="de-DE"/>
        </w:rPr>
        <w:t xml:space="preserve"> fällig. Der Nennbetrag des Forwards ist EUR 740 000 und sein Realwert zum 31. Dezember </w:t>
      </w:r>
      <w:r w:rsidR="001D6DC7" w:rsidRPr="001D6DC7">
        <w:rPr>
          <w:sz w:val="18"/>
          <w:szCs w:val="18"/>
          <w:lang w:val="de-DE"/>
        </w:rPr>
        <w:t>201</w:t>
      </w:r>
      <w:r w:rsidR="001D4082">
        <w:rPr>
          <w:sz w:val="18"/>
          <w:szCs w:val="18"/>
          <w:lang w:val="de-DE"/>
        </w:rPr>
        <w:t>3</w:t>
      </w:r>
      <w:r w:rsidR="001D6DC7" w:rsidRPr="001D6DC7">
        <w:rPr>
          <w:sz w:val="18"/>
          <w:szCs w:val="18"/>
          <w:lang w:val="de-DE"/>
        </w:rPr>
        <w:t xml:space="preserve"> </w:t>
      </w:r>
      <w:r w:rsidR="008C782B" w:rsidRPr="008C782B">
        <w:rPr>
          <w:sz w:val="18"/>
          <w:szCs w:val="18"/>
          <w:lang w:val="de-DE"/>
        </w:rPr>
        <w:t>beträgt EUR 14 818</w:t>
      </w:r>
      <w:r w:rsidR="00C17A50">
        <w:rPr>
          <w:sz w:val="18"/>
          <w:szCs w:val="18"/>
          <w:lang w:val="de-DE"/>
        </w:rPr>
        <w:t xml:space="preserve">. Der </w:t>
      </w:r>
      <w:r w:rsidR="00C17A50">
        <w:rPr>
          <w:sz w:val="18"/>
          <w:szCs w:val="18"/>
        </w:rPr>
        <w:t>Forward</w:t>
      </w:r>
      <w:r w:rsidR="008C782B" w:rsidRPr="008C782B">
        <w:rPr>
          <w:sz w:val="18"/>
          <w:szCs w:val="18"/>
        </w:rPr>
        <w:t xml:space="preserve"> </w:t>
      </w:r>
      <w:r w:rsidR="008C782B" w:rsidRPr="008C782B">
        <w:rPr>
          <w:sz w:val="18"/>
          <w:szCs w:val="18"/>
          <w:lang w:val="de-DE"/>
        </w:rPr>
        <w:t>wurde auf einem öffentlichen Markt abgeschlossen</w:t>
      </w:r>
      <w:r w:rsidR="008C782B" w:rsidRPr="008C782B">
        <w:rPr>
          <w:sz w:val="18"/>
          <w:szCs w:val="18"/>
        </w:rPr>
        <w:t xml:space="preserve">. </w:t>
      </w:r>
      <w:r w:rsidR="00687C63" w:rsidRPr="00C15AAD">
        <w:rPr>
          <w:sz w:val="18"/>
          <w:szCs w:val="18"/>
          <w:lang w:val="de-DE"/>
        </w:rPr>
        <w:t>Die Gesellschaft hat den formellen Anforderungen für die Buchung der Sicherung nicht entsprochen, daher weist sie diese</w:t>
      </w:r>
      <w:r w:rsidR="00C17A50">
        <w:rPr>
          <w:sz w:val="18"/>
          <w:szCs w:val="18"/>
          <w:lang w:val="de-DE"/>
        </w:rPr>
        <w:t>n Forward als ein zu Handelszwecken bestimmtes Derivat aus.</w:t>
      </w:r>
    </w:p>
    <w:p w:rsidR="00BB0E2D" w:rsidRPr="00C15AAD" w:rsidRDefault="00BB0E2D" w:rsidP="00BB0E2D">
      <w:pPr>
        <w:pStyle w:val="BodyText"/>
        <w:rPr>
          <w:szCs w:val="18"/>
          <w:lang w:val="de-DE"/>
        </w:rPr>
      </w:pPr>
    </w:p>
    <w:p w:rsidR="00D21CF8" w:rsidRPr="00DE3DD4" w:rsidRDefault="00D21CF8" w:rsidP="00D21CF8">
      <w:pPr>
        <w:pStyle w:val="BodyText"/>
        <w:rPr>
          <w:lang w:val="de-DE"/>
        </w:rPr>
      </w:pPr>
      <w:r w:rsidRPr="00DE3DD4">
        <w:rPr>
          <w:lang w:val="de-DE"/>
        </w:rPr>
        <w:t xml:space="preserve">Die Gesellschaft hat einen Zinsswap (pay fix) mit einem Nennbetrag von EUR 1 250 000 mit einer Dauer bis zum Jahr </w:t>
      </w:r>
      <w:r w:rsidR="004208DB">
        <w:rPr>
          <w:lang w:val="de-DE"/>
        </w:rPr>
        <w:t>201</w:t>
      </w:r>
      <w:r w:rsidR="001D4082">
        <w:rPr>
          <w:lang w:val="de-DE"/>
        </w:rPr>
        <w:t>4</w:t>
      </w:r>
      <w:r w:rsidR="004208DB">
        <w:rPr>
          <w:lang w:val="de-DE"/>
        </w:rPr>
        <w:t xml:space="preserve"> abgeschlossen. Der Swap wurde auf einem </w:t>
      </w:r>
      <w:r w:rsidR="00786FDB" w:rsidRPr="00DE3DD4">
        <w:rPr>
          <w:lang w:val="de-DE"/>
        </w:rPr>
        <w:t xml:space="preserve">nicht öffentlichen </w:t>
      </w:r>
      <w:r w:rsidRPr="00DE3DD4">
        <w:rPr>
          <w:lang w:val="de-DE"/>
        </w:rPr>
        <w:t xml:space="preserve">Markt abgeschlossen und sein Realwert zum </w:t>
      </w:r>
      <w:r w:rsidR="00380D18">
        <w:rPr>
          <w:lang w:val="de-DE"/>
        </w:rPr>
        <w:br/>
      </w:r>
      <w:r w:rsidRPr="00380D18">
        <w:rPr>
          <w:lang w:val="de-DE"/>
        </w:rPr>
        <w:t xml:space="preserve">31. Dezember </w:t>
      </w:r>
      <w:r w:rsidR="007A171F" w:rsidRPr="00687C63">
        <w:rPr>
          <w:lang w:val="de-DE"/>
        </w:rPr>
        <w:t>201</w:t>
      </w:r>
      <w:r w:rsidR="001D4082">
        <w:rPr>
          <w:lang w:val="de-DE"/>
        </w:rPr>
        <w:t>3</w:t>
      </w:r>
      <w:r w:rsidR="007A171F" w:rsidRPr="00687C63">
        <w:rPr>
          <w:lang w:val="de-DE"/>
        </w:rPr>
        <w:t xml:space="preserve"> </w:t>
      </w:r>
      <w:r w:rsidR="00687C63" w:rsidRPr="00687C63">
        <w:rPr>
          <w:lang w:val="de-DE"/>
        </w:rPr>
        <w:t xml:space="preserve">beträgt EUR </w:t>
      </w:r>
      <w:r w:rsidR="00796A9F">
        <w:rPr>
          <w:lang w:val="de-DE"/>
        </w:rPr>
        <w:t>1</w:t>
      </w:r>
      <w:r w:rsidR="00CD49F7">
        <w:rPr>
          <w:lang w:val="de-DE"/>
        </w:rPr>
        <w:t>7 568</w:t>
      </w:r>
      <w:r w:rsidR="00687C63" w:rsidRPr="00687C63">
        <w:rPr>
          <w:lang w:val="de-DE"/>
        </w:rPr>
        <w:t>. Die latente Steuer aus der Neubewertung beträgt EUR 3 865. Die Gesellschaft weist den Swap unter den Sicherungsderivaten aus.</w:t>
      </w:r>
    </w:p>
    <w:p w:rsidR="00D21CF8" w:rsidRPr="00DE3DD4" w:rsidRDefault="00D21CF8" w:rsidP="00BB0E2D">
      <w:pPr>
        <w:pStyle w:val="BodyText"/>
        <w:rPr>
          <w:lang w:val="de-DE"/>
        </w:rPr>
      </w:pPr>
    </w:p>
    <w:p w:rsidR="00BB0E2D" w:rsidRPr="00DE3DD4" w:rsidRDefault="00687C63" w:rsidP="00BB0E2D">
      <w:pPr>
        <w:pStyle w:val="BodyText"/>
        <w:rPr>
          <w:lang w:val="de-DE"/>
        </w:rPr>
      </w:pPr>
      <w:r w:rsidRPr="00687C63">
        <w:rPr>
          <w:lang w:val="de-DE"/>
        </w:rPr>
        <w:t xml:space="preserve">Übersicht der </w:t>
      </w:r>
      <w:r w:rsidRPr="00687C63">
        <w:rPr>
          <w:szCs w:val="18"/>
          <w:lang w:val="de-DE"/>
        </w:rPr>
        <w:t>zu Handelszwecken bestimmten Derivate sowie der Sicherungsderivate</w:t>
      </w:r>
      <w:r w:rsidRPr="00687C63">
        <w:rPr>
          <w:lang w:val="de-DE"/>
        </w:rPr>
        <w:t>:</w:t>
      </w:r>
    </w:p>
    <w:p w:rsidR="006F09D4" w:rsidRDefault="00252994" w:rsidP="006F09D4">
      <w:pPr>
        <w:pStyle w:val="BodyText"/>
        <w:rPr>
          <w:i/>
          <w:szCs w:val="18"/>
          <w:u w:val="single"/>
        </w:rPr>
      </w:pPr>
      <w:r>
        <w:rPr>
          <w:i/>
          <w:szCs w:val="18"/>
          <w:u w:val="single"/>
        </w:rPr>
        <w:t>(</w:t>
      </w:r>
      <w:r w:rsidR="006F09D4">
        <w:rPr>
          <w:i/>
          <w:szCs w:val="18"/>
          <w:u w:val="single"/>
        </w:rPr>
        <w:t>Der Inhalt und die Anzahl der Zeilen werden nach den Bedürfnissen der Buchführungseinheit geändert. Die Spalten dürfen nicht geändert werden. Diese Information ist zu löschen.</w:t>
      </w:r>
      <w:r>
        <w:rPr>
          <w:i/>
          <w:szCs w:val="18"/>
          <w:u w:val="single"/>
        </w:rPr>
        <w:t>)</w:t>
      </w:r>
    </w:p>
    <w:bookmarkStart w:id="61" w:name="_MON_1410102224"/>
    <w:bookmarkEnd w:id="61"/>
    <w:p w:rsidR="006F09D4" w:rsidRDefault="00CD49F7" w:rsidP="006F09D4">
      <w:pPr>
        <w:pStyle w:val="BodyText"/>
        <w:rPr>
          <w:i/>
          <w:szCs w:val="18"/>
          <w:u w:val="single"/>
        </w:rPr>
      </w:pPr>
      <w:r w:rsidRPr="00DE3DD4">
        <w:rPr>
          <w:lang w:val="de-DE"/>
        </w:rPr>
        <w:object w:dxaOrig="8791" w:dyaOrig="2555">
          <v:shape id="_x0000_i1061" type="#_x0000_t75" style="width:439.5pt;height:142.5pt" o:ole="" o:preferrelative="f">
            <v:imagedata r:id="rId99" o:title=""/>
            <o:lock v:ext="edit" aspectratio="f"/>
          </v:shape>
          <o:OLEObject Type="Embed" ProgID="Excel.Sheet.12" ShapeID="_x0000_i1061" DrawAspect="Content" ObjectID="_1448991420" r:id="rId100"/>
        </w:object>
      </w:r>
      <w:r w:rsidR="00252994">
        <w:rPr>
          <w:i/>
          <w:szCs w:val="18"/>
          <w:u w:val="single"/>
        </w:rPr>
        <w:t>(</w:t>
      </w:r>
      <w:r w:rsidR="006F09D4">
        <w:rPr>
          <w:i/>
          <w:szCs w:val="18"/>
          <w:u w:val="single"/>
        </w:rPr>
        <w:t>Der Inhalt und die Anzahl der Zeilen werden nach den Bedürfnissen der Buchführungseinheit geändert. Die Spalten dürfen nicht geändert werden. Diese Information ist zu löschen.</w:t>
      </w:r>
      <w:r w:rsidR="00252994">
        <w:rPr>
          <w:i/>
          <w:szCs w:val="18"/>
          <w:u w:val="single"/>
        </w:rPr>
        <w:t>)</w:t>
      </w:r>
    </w:p>
    <w:bookmarkStart w:id="62" w:name="_MON_1410443542"/>
    <w:bookmarkEnd w:id="62"/>
    <w:p w:rsidR="00BB0E2D" w:rsidRPr="00DE3DD4" w:rsidRDefault="00CD49F7" w:rsidP="00BB0E2D">
      <w:pPr>
        <w:pStyle w:val="BodyText"/>
        <w:rPr>
          <w:lang w:val="de-DE"/>
        </w:rPr>
      </w:pPr>
      <w:r w:rsidRPr="00DE3DD4">
        <w:rPr>
          <w:lang w:val="de-DE"/>
        </w:rPr>
        <w:object w:dxaOrig="8729" w:dyaOrig="3060">
          <v:shape id="_x0000_i1062" type="#_x0000_t75" style="width:438pt;height:170.25pt" o:ole="" o:preferrelative="f">
            <v:imagedata r:id="rId101" o:title=""/>
            <o:lock v:ext="edit" aspectratio="f"/>
          </v:shape>
          <o:OLEObject Type="Embed" ProgID="Excel.Sheet.12" ShapeID="_x0000_i1062" DrawAspect="Content" ObjectID="_1448991421" r:id="rId102"/>
        </w:object>
      </w:r>
    </w:p>
    <w:p w:rsidR="00027877" w:rsidRDefault="00687C63" w:rsidP="00027877">
      <w:pPr>
        <w:spacing w:after="200" w:line="276" w:lineRule="auto"/>
        <w:ind w:left="426"/>
        <w:rPr>
          <w:lang w:val="de-DE"/>
        </w:rPr>
      </w:pPr>
      <w:r w:rsidRPr="00687C63">
        <w:rPr>
          <w:lang w:val="de-DE"/>
        </w:rPr>
        <w:t>Informationen über die durch Derivate gesicherten Posten:</w:t>
      </w:r>
    </w:p>
    <w:p w:rsidR="00687C63" w:rsidRDefault="00252994" w:rsidP="00687C63">
      <w:pPr>
        <w:pStyle w:val="BodyText"/>
        <w:rPr>
          <w:lang w:val="de-DE"/>
        </w:rPr>
      </w:pPr>
      <w:r>
        <w:rPr>
          <w:i/>
          <w:szCs w:val="18"/>
          <w:u w:val="single"/>
        </w:rPr>
        <w:lastRenderedPageBreak/>
        <w:t>(</w:t>
      </w:r>
      <w:r w:rsidR="006F09D4">
        <w:rPr>
          <w:i/>
          <w:szCs w:val="18"/>
          <w:u w:val="single"/>
        </w:rPr>
        <w:t>Der Inhalt, die Anzahl der Zeilen und Spalten in der Tabelle dürfen nicht geändert werden. Diese Information ist zu löschen.</w:t>
      </w:r>
      <w:r>
        <w:rPr>
          <w:i/>
          <w:szCs w:val="18"/>
          <w:u w:val="single"/>
        </w:rPr>
        <w:t>)</w:t>
      </w:r>
      <w:bookmarkStart w:id="63" w:name="_MON_1410443605"/>
      <w:bookmarkEnd w:id="63"/>
      <w:r w:rsidR="00CD49F7">
        <w:object w:dxaOrig="8878" w:dyaOrig="2440">
          <v:shape id="_x0000_i1063" type="#_x0000_t75" style="width:438pt;height:135.75pt" o:ole="" o:preferrelative="f">
            <v:imagedata r:id="rId103" o:title=""/>
            <o:lock v:ext="edit" aspectratio="f"/>
          </v:shape>
          <o:OLEObject Type="Embed" ProgID="Excel.Sheet.12" ShapeID="_x0000_i1063" DrawAspect="Content" ObjectID="_1448991422" r:id="rId104"/>
        </w:object>
      </w:r>
    </w:p>
    <w:p w:rsidR="00CC6FB7" w:rsidRDefault="00A25722">
      <w:pPr>
        <w:pStyle w:val="Heading1"/>
        <w:rPr>
          <w:lang w:val="de-DE"/>
        </w:rPr>
      </w:pPr>
      <w:r w:rsidRPr="00401779">
        <w:rPr>
          <w:lang w:val="de-DE"/>
        </w:rPr>
        <w:br w:type="page"/>
      </w:r>
      <w:r w:rsidRPr="007351A7">
        <w:rPr>
          <w:lang w:val="de-DE"/>
        </w:rPr>
        <w:lastRenderedPageBreak/>
        <w:t xml:space="preserve">informATIONEN ÜBER ERTRÄGE </w:t>
      </w:r>
    </w:p>
    <w:p w:rsidR="00A25722" w:rsidRPr="007351A7" w:rsidRDefault="00A25722" w:rsidP="00A25722">
      <w:pPr>
        <w:pStyle w:val="Heading2"/>
        <w:numPr>
          <w:ilvl w:val="0"/>
          <w:numId w:val="0"/>
        </w:numPr>
        <w:rPr>
          <w:lang w:val="de-DE"/>
        </w:rPr>
      </w:pPr>
      <w:bookmarkStart w:id="64" w:name="_Toc530739914"/>
    </w:p>
    <w:p w:rsidR="00A25722" w:rsidRPr="00F75DF5" w:rsidRDefault="00A25722" w:rsidP="00F75DF5">
      <w:pPr>
        <w:pStyle w:val="Heading2"/>
        <w:numPr>
          <w:ilvl w:val="0"/>
          <w:numId w:val="12"/>
        </w:numPr>
        <w:rPr>
          <w:lang w:val="de-DE"/>
        </w:rPr>
      </w:pPr>
      <w:r w:rsidRPr="00F75DF5">
        <w:rPr>
          <w:lang w:val="de-DE"/>
        </w:rPr>
        <w:t xml:space="preserve">Erlöse aus dem Verkauf von eigenen Leistungen und Waren </w:t>
      </w:r>
      <w:bookmarkEnd w:id="64"/>
    </w:p>
    <w:p w:rsidR="00A25722" w:rsidRPr="0082747B" w:rsidRDefault="00A25722" w:rsidP="00A25722">
      <w:pPr>
        <w:pStyle w:val="BodyText"/>
        <w:rPr>
          <w:lang w:val="de-DE"/>
        </w:rPr>
      </w:pPr>
    </w:p>
    <w:p w:rsidR="00A25722" w:rsidRDefault="00A25722" w:rsidP="00A25722">
      <w:pPr>
        <w:pStyle w:val="BodyText"/>
        <w:rPr>
          <w:lang w:val="de-DE"/>
        </w:rPr>
      </w:pPr>
      <w:r>
        <w:rPr>
          <w:lang w:val="de-DE"/>
        </w:rPr>
        <w:t xml:space="preserve">Erlöse aus dem Verkauf von eigenen Leistungen und Waren werden nach einzelnen Segmenten </w:t>
      </w:r>
      <w:r w:rsidR="0091416D">
        <w:rPr>
          <w:lang w:val="de-DE"/>
        </w:rPr>
        <w:t xml:space="preserve">(d.h. Typen von Erzeugnissen und Dienstleistungen und nach geographisch bestimmten Märkten) </w:t>
      </w:r>
      <w:r>
        <w:rPr>
          <w:lang w:val="de-DE"/>
        </w:rPr>
        <w:t xml:space="preserve">in folgender Tabelle dargestellt: </w:t>
      </w:r>
    </w:p>
    <w:p w:rsidR="000D1EF0" w:rsidRDefault="000D1EF0" w:rsidP="006F09D4">
      <w:pPr>
        <w:pStyle w:val="BodyText"/>
        <w:rPr>
          <w:i/>
          <w:szCs w:val="18"/>
          <w:u w:val="single"/>
        </w:rPr>
      </w:pPr>
    </w:p>
    <w:p w:rsidR="006F09D4" w:rsidRDefault="00252994" w:rsidP="006F09D4">
      <w:pPr>
        <w:pStyle w:val="BodyText"/>
        <w:rPr>
          <w:i/>
          <w:szCs w:val="18"/>
          <w:u w:val="single"/>
        </w:rPr>
      </w:pPr>
      <w:r>
        <w:rPr>
          <w:i/>
          <w:szCs w:val="18"/>
          <w:u w:val="single"/>
        </w:rPr>
        <w:t>(</w:t>
      </w:r>
      <w:r w:rsidR="000D1EF0">
        <w:rPr>
          <w:i/>
          <w:szCs w:val="18"/>
          <w:u w:val="single"/>
        </w:rPr>
        <w:t>Verpflichtende Angaben</w:t>
      </w:r>
      <w:r w:rsidR="006F09D4">
        <w:rPr>
          <w:i/>
          <w:szCs w:val="18"/>
          <w:u w:val="single"/>
        </w:rPr>
        <w:t xml:space="preserve">. </w:t>
      </w:r>
      <w:r w:rsidR="000D1EF0">
        <w:rPr>
          <w:i/>
          <w:szCs w:val="18"/>
          <w:u w:val="single"/>
        </w:rPr>
        <w:t xml:space="preserve">Die Form und die </w:t>
      </w:r>
      <w:r w:rsidR="00577059">
        <w:rPr>
          <w:i/>
          <w:szCs w:val="18"/>
          <w:u w:val="single"/>
        </w:rPr>
        <w:t xml:space="preserve">Art der Angabe </w:t>
      </w:r>
      <w:r w:rsidR="000D1EF0">
        <w:rPr>
          <w:i/>
          <w:szCs w:val="18"/>
          <w:u w:val="single"/>
        </w:rPr>
        <w:t>der</w:t>
      </w:r>
      <w:r w:rsidR="00577059">
        <w:rPr>
          <w:i/>
          <w:szCs w:val="18"/>
          <w:u w:val="single"/>
        </w:rPr>
        <w:t xml:space="preserve"> Information</w:t>
      </w:r>
      <w:r w:rsidR="00542422">
        <w:rPr>
          <w:i/>
          <w:szCs w:val="18"/>
          <w:u w:val="single"/>
        </w:rPr>
        <w:t>en</w:t>
      </w:r>
      <w:r w:rsidR="00577059">
        <w:rPr>
          <w:i/>
          <w:szCs w:val="18"/>
          <w:u w:val="single"/>
        </w:rPr>
        <w:t xml:space="preserve"> sind</w:t>
      </w:r>
      <w:r w:rsidR="000D1EF0">
        <w:rPr>
          <w:i/>
          <w:szCs w:val="18"/>
          <w:u w:val="single"/>
        </w:rPr>
        <w:t xml:space="preserve"> nicht vorgeschrieben.</w:t>
      </w:r>
      <w:r w:rsidR="006F09D4">
        <w:rPr>
          <w:i/>
          <w:szCs w:val="18"/>
          <w:u w:val="single"/>
        </w:rPr>
        <w:t xml:space="preserve"> Diese Information ist zu löschen.</w:t>
      </w:r>
      <w:r>
        <w:rPr>
          <w:i/>
          <w:szCs w:val="18"/>
          <w:u w:val="single"/>
        </w:rPr>
        <w:t>)</w:t>
      </w:r>
    </w:p>
    <w:p w:rsidR="006F09D4" w:rsidRPr="006F09D4" w:rsidRDefault="006F09D4" w:rsidP="00A25722">
      <w:pPr>
        <w:pStyle w:val="BodyText"/>
      </w:pPr>
    </w:p>
    <w:p w:rsidR="00A25722" w:rsidRPr="002C1DCF" w:rsidRDefault="00A25722" w:rsidP="00A25722">
      <w:pPr>
        <w:pStyle w:val="BodyText"/>
        <w:rPr>
          <w:lang w:val="de-DE"/>
        </w:rPr>
      </w:pPr>
    </w:p>
    <w:bookmarkStart w:id="65" w:name="_MON_1410443694"/>
    <w:bookmarkEnd w:id="65"/>
    <w:p w:rsidR="00F75DF5" w:rsidRDefault="000D1EF0" w:rsidP="00F75DF5">
      <w:pPr>
        <w:pStyle w:val="BodyText"/>
      </w:pPr>
      <w:r w:rsidRPr="00167134">
        <w:object w:dxaOrig="9964" w:dyaOrig="2862">
          <v:shape id="_x0000_i1064" type="#_x0000_t75" style="width:450pt;height:143.25pt" o:ole="" o:preferrelative="f">
            <v:imagedata r:id="rId105" o:title=""/>
            <o:lock v:ext="edit" aspectratio="f"/>
          </v:shape>
          <o:OLEObject Type="Embed" ProgID="Excel.Sheet.12" ShapeID="_x0000_i1064" DrawAspect="Content" ObjectID="_1448991423" r:id="rId106"/>
        </w:object>
      </w:r>
    </w:p>
    <w:p w:rsidR="001814FE" w:rsidRPr="002C1DCF" w:rsidRDefault="001814FE" w:rsidP="00F75DF5">
      <w:pPr>
        <w:pStyle w:val="BodyText"/>
        <w:rPr>
          <w:lang w:val="de-DE"/>
        </w:rPr>
      </w:pPr>
    </w:p>
    <w:p w:rsidR="00F75DF5" w:rsidRPr="002C1DCF" w:rsidRDefault="00F75DF5" w:rsidP="00F75DF5">
      <w:pPr>
        <w:pStyle w:val="Heading2"/>
        <w:rPr>
          <w:lang w:val="de-DE"/>
        </w:rPr>
      </w:pPr>
      <w:r>
        <w:rPr>
          <w:lang w:val="de-DE"/>
        </w:rPr>
        <w:t>Bestands</w:t>
      </w:r>
      <w:r w:rsidRPr="002C1DCF">
        <w:rPr>
          <w:lang w:val="de-DE"/>
        </w:rPr>
        <w:t>veränderung der selbsterstellten Vorräte</w:t>
      </w:r>
    </w:p>
    <w:p w:rsidR="00F75DF5" w:rsidRPr="00D97F06" w:rsidRDefault="00F75DF5" w:rsidP="00F75DF5">
      <w:pPr>
        <w:pStyle w:val="BodyText"/>
        <w:rPr>
          <w:color w:val="008000"/>
          <w:lang w:val="de-DE"/>
        </w:rPr>
      </w:pPr>
    </w:p>
    <w:p w:rsidR="00F75DF5" w:rsidRDefault="00F75DF5" w:rsidP="00F75DF5">
      <w:pPr>
        <w:pStyle w:val="BodyText"/>
        <w:rPr>
          <w:lang w:val="de-DE"/>
        </w:rPr>
      </w:pPr>
      <w:r w:rsidRPr="00216A41">
        <w:rPr>
          <w:lang w:val="de-DE"/>
        </w:rPr>
        <w:t>Bei der in der Gewinn- und Verlustrechnung ausgewiesene</w:t>
      </w:r>
      <w:r>
        <w:rPr>
          <w:lang w:val="de-DE"/>
        </w:rPr>
        <w:t>n</w:t>
      </w:r>
      <w:r w:rsidRPr="00216A41">
        <w:rPr>
          <w:lang w:val="de-DE"/>
        </w:rPr>
        <w:t xml:space="preserve"> Bestandsveränderung der selbsterstellten Vorräte handelt es sich um eine Verminderung i.H.v. </w:t>
      </w:r>
      <w:r w:rsidRPr="009D33FD">
        <w:rPr>
          <w:lang w:val="de-DE"/>
        </w:rPr>
        <w:t xml:space="preserve">EUR </w:t>
      </w:r>
      <w:r w:rsidR="00B94584">
        <w:rPr>
          <w:lang w:val="de-DE"/>
        </w:rPr>
        <w:t>658 832</w:t>
      </w:r>
      <w:r w:rsidR="00704AEC">
        <w:rPr>
          <w:lang w:val="de-DE"/>
        </w:rPr>
        <w:t xml:space="preserve"> </w:t>
      </w:r>
      <w:r w:rsidR="009A1811" w:rsidRPr="009A1811">
        <w:rPr>
          <w:lang w:val="de-DE"/>
        </w:rPr>
        <w:t>(</w:t>
      </w:r>
      <w:r w:rsidR="00312B47" w:rsidRPr="009A1811">
        <w:rPr>
          <w:lang w:val="de-DE"/>
        </w:rPr>
        <w:t>201</w:t>
      </w:r>
      <w:r w:rsidR="001D4082">
        <w:rPr>
          <w:lang w:val="de-DE"/>
        </w:rPr>
        <w:t>2</w:t>
      </w:r>
      <w:r w:rsidR="009A1811" w:rsidRPr="009A1811">
        <w:rPr>
          <w:lang w:val="de-DE"/>
        </w:rPr>
        <w:t xml:space="preserve">: </w:t>
      </w:r>
      <w:r w:rsidR="001109BF" w:rsidRPr="0072755B">
        <w:rPr>
          <w:lang w:val="de-DE"/>
        </w:rPr>
        <w:t>Erhöhung</w:t>
      </w:r>
      <w:r w:rsidR="00704AEC">
        <w:t xml:space="preserve"> </w:t>
      </w:r>
      <w:r w:rsidR="00704AEC">
        <w:rPr>
          <w:szCs w:val="18"/>
        </w:rPr>
        <w:t>EUR 938 990</w:t>
      </w:r>
      <w:r w:rsidR="009A1811" w:rsidRPr="009A1811">
        <w:rPr>
          <w:szCs w:val="18"/>
          <w:lang w:val="de-DE"/>
        </w:rPr>
        <w:t>)</w:t>
      </w:r>
      <w:r w:rsidRPr="00216A41">
        <w:rPr>
          <w:lang w:val="de-DE"/>
        </w:rPr>
        <w:t xml:space="preserve">. Ausgehend von den Bilanzposten beträgt die Verminderung </w:t>
      </w:r>
      <w:r w:rsidRPr="009D33FD">
        <w:rPr>
          <w:lang w:val="de-DE"/>
        </w:rPr>
        <w:t>EUR 725</w:t>
      </w:r>
      <w:r w:rsidR="00704AEC">
        <w:rPr>
          <w:lang w:val="de-DE"/>
        </w:rPr>
        <w:t> </w:t>
      </w:r>
      <w:r w:rsidRPr="009D33FD">
        <w:rPr>
          <w:lang w:val="de-DE"/>
        </w:rPr>
        <w:t>884</w:t>
      </w:r>
      <w:r w:rsidR="00704AEC">
        <w:rPr>
          <w:lang w:val="de-DE"/>
        </w:rPr>
        <w:t xml:space="preserve"> </w:t>
      </w:r>
      <w:r w:rsidR="00704AEC">
        <w:rPr>
          <w:szCs w:val="18"/>
        </w:rPr>
        <w:t>(</w:t>
      </w:r>
      <w:r w:rsidR="00312B47">
        <w:rPr>
          <w:szCs w:val="18"/>
        </w:rPr>
        <w:t>201</w:t>
      </w:r>
      <w:r w:rsidR="001D4082">
        <w:rPr>
          <w:szCs w:val="18"/>
        </w:rPr>
        <w:t>2</w:t>
      </w:r>
      <w:r w:rsidR="0072755B">
        <w:rPr>
          <w:szCs w:val="18"/>
        </w:rPr>
        <w:t>:</w:t>
      </w:r>
      <w:r w:rsidR="00704AEC">
        <w:rPr>
          <w:szCs w:val="18"/>
        </w:rPr>
        <w:t xml:space="preserve"> </w:t>
      </w:r>
      <w:r w:rsidR="009A1811" w:rsidRPr="009A1811">
        <w:rPr>
          <w:szCs w:val="18"/>
          <w:lang w:val="de-DE"/>
        </w:rPr>
        <w:t>Erhöhung</w:t>
      </w:r>
      <w:r w:rsidR="00704AEC">
        <w:rPr>
          <w:szCs w:val="18"/>
        </w:rPr>
        <w:t xml:space="preserve"> EUR 1 013 177</w:t>
      </w:r>
      <w:r w:rsidR="009A1811" w:rsidRPr="009A1811">
        <w:rPr>
          <w:szCs w:val="18"/>
          <w:lang w:val="de-DE"/>
        </w:rPr>
        <w:t>)</w:t>
      </w:r>
      <w:r w:rsidRPr="00216A41">
        <w:rPr>
          <w:lang w:val="de-DE"/>
        </w:rPr>
        <w:t>, wie es in folgender Übersicht dargestellt</w:t>
      </w:r>
      <w:r w:rsidRPr="00185AEC">
        <w:rPr>
          <w:lang w:val="de-DE"/>
        </w:rPr>
        <w:t xml:space="preserve"> ist:</w:t>
      </w:r>
      <w:r>
        <w:rPr>
          <w:lang w:val="de-DE"/>
        </w:rPr>
        <w:t xml:space="preserve"> </w:t>
      </w:r>
    </w:p>
    <w:p w:rsidR="006F09D4" w:rsidRDefault="00252994" w:rsidP="006F09D4">
      <w:pPr>
        <w:pStyle w:val="BodyText"/>
        <w:rPr>
          <w:i/>
          <w:szCs w:val="18"/>
          <w:u w:val="single"/>
        </w:rPr>
      </w:pPr>
      <w:r>
        <w:rPr>
          <w:i/>
          <w:szCs w:val="18"/>
          <w:u w:val="single"/>
        </w:rPr>
        <w:t>(</w:t>
      </w:r>
      <w:r w:rsidR="006F09D4">
        <w:rPr>
          <w:i/>
          <w:szCs w:val="18"/>
          <w:u w:val="single"/>
        </w:rPr>
        <w:t>Der Inhalt, die Anzahl der Zeilen und Spalten in der Tabelle dürfen nicht geändert werden. Diese Information ist zu löschen.</w:t>
      </w:r>
      <w:r>
        <w:rPr>
          <w:i/>
          <w:szCs w:val="18"/>
          <w:u w:val="single"/>
        </w:rPr>
        <w:t>)</w:t>
      </w:r>
    </w:p>
    <w:p w:rsidR="00B2446C" w:rsidRDefault="00B2446C" w:rsidP="00F75DF5">
      <w:pPr>
        <w:pStyle w:val="BodyText"/>
        <w:rPr>
          <w:lang w:val="de-DE"/>
        </w:rPr>
      </w:pPr>
    </w:p>
    <w:bookmarkStart w:id="66" w:name="_MON_1410102658"/>
    <w:bookmarkEnd w:id="66"/>
    <w:p w:rsidR="00B2446C" w:rsidRDefault="001D4082" w:rsidP="00F75DF5">
      <w:pPr>
        <w:pStyle w:val="BodyText"/>
        <w:rPr>
          <w:lang w:val="de-DE"/>
        </w:rPr>
      </w:pPr>
      <w:r w:rsidRPr="00003C63">
        <w:object w:dxaOrig="8600" w:dyaOrig="4213">
          <v:shape id="_x0000_i1065" type="#_x0000_t75" style="width:438pt;height:239.25pt" o:ole="" o:preferrelative="f">
            <v:imagedata r:id="rId107" o:title=""/>
            <o:lock v:ext="edit" aspectratio="f"/>
          </v:shape>
          <o:OLEObject Type="Embed" ProgID="Excel.Sheet.12" ShapeID="_x0000_i1065" DrawAspect="Content" ObjectID="_1448991424" r:id="rId108"/>
        </w:object>
      </w:r>
    </w:p>
    <w:p w:rsidR="001814FE" w:rsidRDefault="001814FE" w:rsidP="00F75DF5">
      <w:pPr>
        <w:pStyle w:val="BodyText"/>
        <w:rPr>
          <w:lang w:val="de-DE"/>
        </w:rPr>
      </w:pPr>
    </w:p>
    <w:p w:rsidR="00F75DF5" w:rsidRDefault="00F75DF5" w:rsidP="00F75DF5">
      <w:pPr>
        <w:pStyle w:val="BodyText"/>
        <w:rPr>
          <w:lang w:val="de-DE"/>
        </w:rPr>
      </w:pPr>
      <w:r w:rsidRPr="002C1DCF">
        <w:rPr>
          <w:lang w:val="de-DE"/>
        </w:rPr>
        <w:t xml:space="preserve">Die Differenz wurde dadurch verursacht, dass einige Posten gemäß den slowakischen Rechtsvorschriften nicht mittels der Bestandsveränderung, sondern direkt auf entsprechende andere Aufwands- und Ertragskonten gebucht wurden. </w:t>
      </w:r>
    </w:p>
    <w:p w:rsidR="00F75DF5" w:rsidRPr="00C15AAD" w:rsidRDefault="00F75DF5" w:rsidP="00F75DF5">
      <w:pPr>
        <w:pStyle w:val="Heading2"/>
        <w:numPr>
          <w:ilvl w:val="0"/>
          <w:numId w:val="0"/>
        </w:numPr>
        <w:ind w:left="360"/>
        <w:rPr>
          <w:szCs w:val="18"/>
          <w:lang w:val="de-DE"/>
        </w:rPr>
      </w:pPr>
      <w:bookmarkStart w:id="67" w:name="_Toc530739916"/>
    </w:p>
    <w:p w:rsidR="00687C63" w:rsidRPr="00C15AAD" w:rsidRDefault="00687C63" w:rsidP="00687C63">
      <w:pPr>
        <w:rPr>
          <w:sz w:val="18"/>
          <w:szCs w:val="18"/>
          <w:lang w:val="de-DE"/>
        </w:rPr>
      </w:pPr>
    </w:p>
    <w:p w:rsidR="003E7CAD" w:rsidRPr="00C15AAD" w:rsidRDefault="008C782B">
      <w:pPr>
        <w:spacing w:after="200" w:line="276" w:lineRule="auto"/>
        <w:rPr>
          <w:b/>
          <w:sz w:val="18"/>
          <w:szCs w:val="18"/>
          <w:lang w:val="de-DE"/>
        </w:rPr>
      </w:pPr>
      <w:r w:rsidRPr="008C782B">
        <w:rPr>
          <w:sz w:val="18"/>
          <w:szCs w:val="18"/>
          <w:lang w:val="de-DE"/>
        </w:rPr>
        <w:br w:type="page"/>
      </w:r>
    </w:p>
    <w:p w:rsidR="00AD2C07" w:rsidRPr="00975518" w:rsidRDefault="00F75DF5" w:rsidP="00AD2C07">
      <w:pPr>
        <w:pStyle w:val="Heading2"/>
        <w:rPr>
          <w:lang w:val="de-DE"/>
        </w:rPr>
      </w:pPr>
      <w:r>
        <w:rPr>
          <w:lang w:val="de-DE"/>
        </w:rPr>
        <w:lastRenderedPageBreak/>
        <w:t>A</w:t>
      </w:r>
      <w:r w:rsidRPr="00975518">
        <w:rPr>
          <w:lang w:val="de-DE"/>
        </w:rPr>
        <w:t>ktiv</w:t>
      </w:r>
      <w:bookmarkEnd w:id="67"/>
      <w:r w:rsidRPr="00975518">
        <w:rPr>
          <w:lang w:val="de-DE"/>
        </w:rPr>
        <w:t>ierung</w:t>
      </w:r>
      <w:r w:rsidR="004102C2">
        <w:rPr>
          <w:lang w:val="de-DE"/>
        </w:rPr>
        <w:t xml:space="preserve"> der Aufwendungen</w:t>
      </w:r>
      <w:r w:rsidR="002D75C4">
        <w:rPr>
          <w:lang w:val="de-DE"/>
        </w:rPr>
        <w:t>, Ertr</w:t>
      </w:r>
      <w:r w:rsidR="002D75C4">
        <w:rPr>
          <w:lang w:val="de-AT"/>
        </w:rPr>
        <w:t xml:space="preserve">äge aus der Wirtschaftstätigkeit, </w:t>
      </w:r>
      <w:r w:rsidR="002D75C4" w:rsidRPr="009D33FD">
        <w:rPr>
          <w:lang w:val="de-DE"/>
        </w:rPr>
        <w:t>Finanz</w:t>
      </w:r>
      <w:r w:rsidR="004102C2">
        <w:rPr>
          <w:lang w:val="de-DE"/>
        </w:rPr>
        <w:t>ierungstätigkeit</w:t>
      </w:r>
      <w:r w:rsidR="00AD2C07">
        <w:rPr>
          <w:lang w:val="de-DE"/>
        </w:rPr>
        <w:t xml:space="preserve"> und </w:t>
      </w:r>
      <w:r w:rsidR="004102C2">
        <w:rPr>
          <w:lang w:val="de-DE"/>
        </w:rPr>
        <w:t>der a</w:t>
      </w:r>
      <w:r w:rsidR="00AD2C07" w:rsidRPr="00975518">
        <w:rPr>
          <w:lang w:val="de-DE"/>
        </w:rPr>
        <w:t>ußerordentliche</w:t>
      </w:r>
      <w:r w:rsidR="004102C2">
        <w:rPr>
          <w:lang w:val="de-DE"/>
        </w:rPr>
        <w:t>n</w:t>
      </w:r>
      <w:r w:rsidR="00AD2C07" w:rsidRPr="00975518">
        <w:rPr>
          <w:lang w:val="de-DE"/>
        </w:rPr>
        <w:t xml:space="preserve"> </w:t>
      </w:r>
      <w:r w:rsidR="004102C2">
        <w:rPr>
          <w:lang w:val="de-DE"/>
        </w:rPr>
        <w:t>Tätigkeit</w:t>
      </w:r>
    </w:p>
    <w:p w:rsidR="00687C63" w:rsidRPr="00687C63" w:rsidRDefault="00687C63" w:rsidP="00687C63">
      <w:pPr>
        <w:pStyle w:val="Heading2"/>
        <w:numPr>
          <w:ilvl w:val="0"/>
          <w:numId w:val="0"/>
        </w:numPr>
        <w:rPr>
          <w:b w:val="0"/>
          <w:lang w:val="de-DE"/>
        </w:rPr>
      </w:pPr>
    </w:p>
    <w:p w:rsidR="00AD2C07" w:rsidRDefault="00687C63" w:rsidP="00AD2C07">
      <w:pPr>
        <w:pStyle w:val="BodyText"/>
        <w:rPr>
          <w:lang w:val="de-DE"/>
        </w:rPr>
      </w:pPr>
      <w:r w:rsidRPr="00687C63">
        <w:rPr>
          <w:lang w:val="de-DE"/>
        </w:rPr>
        <w:t>Die Übersicht über die Erträge bei der Aktivierung der Aufwendungen, Erträge aus der Wirtschaftstätigkeit, Finanzierungstätigkeit und der außerordentlichen Tätigkeit wird in folgender Tabelle aufgeführt:</w:t>
      </w:r>
    </w:p>
    <w:p w:rsidR="005F3BD1" w:rsidRDefault="005F3BD1" w:rsidP="00367904">
      <w:pPr>
        <w:pStyle w:val="BodyText"/>
        <w:rPr>
          <w:i/>
          <w:szCs w:val="18"/>
          <w:u w:val="single"/>
        </w:rPr>
      </w:pPr>
    </w:p>
    <w:p w:rsidR="00367904" w:rsidRDefault="00367904" w:rsidP="00367904">
      <w:pPr>
        <w:pStyle w:val="BodyText"/>
        <w:rPr>
          <w:i/>
          <w:szCs w:val="18"/>
          <w:u w:val="single"/>
        </w:rPr>
      </w:pPr>
      <w:r>
        <w:rPr>
          <w:i/>
          <w:szCs w:val="18"/>
          <w:u w:val="single"/>
        </w:rPr>
        <w:t xml:space="preserve">(Verpflichtende Angaben. Die Form und die </w:t>
      </w:r>
      <w:r w:rsidR="004E2E37">
        <w:rPr>
          <w:i/>
          <w:szCs w:val="18"/>
          <w:u w:val="single"/>
        </w:rPr>
        <w:t xml:space="preserve">Art der Angabe der Informationen sind </w:t>
      </w:r>
      <w:r>
        <w:rPr>
          <w:i/>
          <w:szCs w:val="18"/>
          <w:u w:val="single"/>
        </w:rPr>
        <w:t>nicht vorgeschrieben. Diese Information ist zu löschen.)</w:t>
      </w:r>
    </w:p>
    <w:p w:rsidR="00020E54" w:rsidRPr="00020E54" w:rsidRDefault="00020E54" w:rsidP="00AD2C07">
      <w:pPr>
        <w:pStyle w:val="BodyText"/>
      </w:pPr>
    </w:p>
    <w:p w:rsidR="00AD2C07" w:rsidRPr="005C5993" w:rsidRDefault="00AD2C07" w:rsidP="00AD2C07">
      <w:pPr>
        <w:pStyle w:val="BodyText"/>
        <w:rPr>
          <w:lang w:val="de-DE"/>
        </w:rPr>
      </w:pPr>
    </w:p>
    <w:bookmarkStart w:id="68" w:name="_MON_1410443873"/>
    <w:bookmarkEnd w:id="68"/>
    <w:p w:rsidR="005C5993" w:rsidRDefault="001D4082" w:rsidP="0023480A">
      <w:pPr>
        <w:pStyle w:val="Heading2"/>
        <w:numPr>
          <w:ilvl w:val="0"/>
          <w:numId w:val="0"/>
        </w:numPr>
        <w:ind w:left="426"/>
        <w:jc w:val="both"/>
        <w:rPr>
          <w:b w:val="0"/>
          <w:lang w:val="de-DE"/>
        </w:rPr>
      </w:pPr>
      <w:r w:rsidRPr="005C5993">
        <w:rPr>
          <w:lang w:val="de-DE"/>
        </w:rPr>
        <w:object w:dxaOrig="9021" w:dyaOrig="7534">
          <v:shape id="_x0000_i1066" type="#_x0000_t75" style="width:438.75pt;height:409.5pt" o:ole="" o:preferrelative="f">
            <v:imagedata r:id="rId109" o:title=""/>
            <o:lock v:ext="edit" aspectratio="f"/>
          </v:shape>
          <o:OLEObject Type="Embed" ProgID="Excel.Sheet.12" ShapeID="_x0000_i1066" DrawAspect="Content" ObjectID="_1448991425" r:id="rId110"/>
        </w:object>
      </w:r>
    </w:p>
    <w:p w:rsidR="001814FE" w:rsidRDefault="001814FE" w:rsidP="0023480A">
      <w:pPr>
        <w:pStyle w:val="Heading2"/>
        <w:numPr>
          <w:ilvl w:val="0"/>
          <w:numId w:val="0"/>
        </w:numPr>
        <w:ind w:left="426"/>
        <w:jc w:val="both"/>
        <w:rPr>
          <w:b w:val="0"/>
          <w:lang w:val="de-DE"/>
        </w:rPr>
      </w:pPr>
    </w:p>
    <w:p w:rsidR="0023480A" w:rsidRPr="005C5993" w:rsidRDefault="00687C63" w:rsidP="0023480A">
      <w:pPr>
        <w:pStyle w:val="Heading2"/>
        <w:numPr>
          <w:ilvl w:val="0"/>
          <w:numId w:val="0"/>
        </w:numPr>
        <w:ind w:left="426"/>
        <w:jc w:val="both"/>
        <w:rPr>
          <w:lang w:val="de-DE"/>
        </w:rPr>
      </w:pPr>
      <w:r w:rsidRPr="00687C63">
        <w:rPr>
          <w:b w:val="0"/>
          <w:lang w:val="de-DE"/>
        </w:rPr>
        <w:t>Erträge aus der Neubewertung der Derivate betreffen den Währungsforward zum Kauf von USD. Nähere Informationen über den Währungsforward werden im Teil G.</w:t>
      </w:r>
      <w:r w:rsidR="00020E54">
        <w:rPr>
          <w:b w:val="0"/>
          <w:lang w:val="de-DE"/>
        </w:rPr>
        <w:t>9</w:t>
      </w:r>
      <w:r w:rsidR="00AF5787">
        <w:rPr>
          <w:b w:val="0"/>
          <w:lang w:val="de-DE"/>
        </w:rPr>
        <w:t>.</w:t>
      </w:r>
      <w:r w:rsidR="00020E54" w:rsidRPr="00687C63">
        <w:rPr>
          <w:b w:val="0"/>
          <w:lang w:val="de-DE"/>
        </w:rPr>
        <w:t xml:space="preserve"> </w:t>
      </w:r>
      <w:r w:rsidRPr="00687C63">
        <w:rPr>
          <w:b w:val="0"/>
          <w:lang w:val="de-DE"/>
        </w:rPr>
        <w:t>angeführt.</w:t>
      </w:r>
    </w:p>
    <w:p w:rsidR="001814FE" w:rsidRDefault="001814FE" w:rsidP="00687C63">
      <w:pPr>
        <w:pStyle w:val="BodyText"/>
        <w:rPr>
          <w:lang w:val="de-DE"/>
        </w:rPr>
      </w:pPr>
    </w:p>
    <w:p w:rsidR="00687C63" w:rsidRDefault="00EA7B8D" w:rsidP="00687C63">
      <w:pPr>
        <w:pStyle w:val="BodyText"/>
      </w:pPr>
      <w:r w:rsidRPr="00811D8D">
        <w:rPr>
          <w:lang w:val="de-DE"/>
        </w:rPr>
        <w:t>Als Ertrag aus der Differenz zwischen der anerkannten Bewertung und dem Buchwert der Sacheinlage i</w:t>
      </w:r>
      <w:r w:rsidRPr="00B727DE">
        <w:rPr>
          <w:lang w:val="de-DE"/>
        </w:rPr>
        <w:t>st die Differenz zwischen der anerkannten Bewertung und dem Buchwert der Sacheinlage in die Gesellschaft ABC Motoren SR, s.</w:t>
      </w:r>
      <w:r w:rsidR="00252994">
        <w:rPr>
          <w:lang w:val="de-DE"/>
        </w:rPr>
        <w:t xml:space="preserve"> </w:t>
      </w:r>
      <w:r w:rsidRPr="00B727DE">
        <w:rPr>
          <w:lang w:val="de-DE"/>
        </w:rPr>
        <w:t>r.</w:t>
      </w:r>
      <w:r w:rsidR="00252994">
        <w:rPr>
          <w:lang w:val="de-DE"/>
        </w:rPr>
        <w:t xml:space="preserve"> </w:t>
      </w:r>
      <w:r w:rsidRPr="00B727DE">
        <w:rPr>
          <w:lang w:val="de-DE"/>
        </w:rPr>
        <w:t xml:space="preserve">o., Martin ausgewiesen. Die anerkannte Bewertung der Sacheinlage ist um </w:t>
      </w:r>
      <w:r w:rsidRPr="009D33FD">
        <w:rPr>
          <w:lang w:val="de-DE"/>
        </w:rPr>
        <w:t xml:space="preserve">EUR 82.985 </w:t>
      </w:r>
      <w:r>
        <w:rPr>
          <w:lang w:val="de-DE"/>
        </w:rPr>
        <w:t>höher als ihr Buchwert.</w:t>
      </w:r>
      <w:r>
        <w:rPr>
          <w:color w:val="008000"/>
          <w:lang w:val="de-DE"/>
        </w:rPr>
        <w:t xml:space="preserve"> </w:t>
      </w:r>
      <w:r w:rsidRPr="00421E88">
        <w:rPr>
          <w:lang w:val="de-DE"/>
        </w:rPr>
        <w:t>Die</w:t>
      </w:r>
      <w:r>
        <w:rPr>
          <w:lang w:val="de-DE"/>
        </w:rPr>
        <w:t xml:space="preserve"> damit zusammenhängende latente Steuer beträgt EUR </w:t>
      </w:r>
      <w:r w:rsidR="00AB03C1">
        <w:rPr>
          <w:lang w:val="de-DE"/>
        </w:rPr>
        <w:t>1</w:t>
      </w:r>
      <w:r w:rsidR="005F3BD1">
        <w:rPr>
          <w:lang w:val="de-DE"/>
        </w:rPr>
        <w:t>8 257</w:t>
      </w:r>
      <w:r>
        <w:rPr>
          <w:lang w:val="de-DE"/>
        </w:rPr>
        <w:t xml:space="preserve">. </w:t>
      </w:r>
    </w:p>
    <w:p w:rsidR="0023480A" w:rsidRPr="00C15AAD" w:rsidRDefault="008C782B">
      <w:pPr>
        <w:spacing w:after="200" w:line="276" w:lineRule="auto"/>
        <w:rPr>
          <w:b/>
          <w:sz w:val="18"/>
          <w:szCs w:val="18"/>
          <w:lang w:val="de-DE"/>
        </w:rPr>
      </w:pPr>
      <w:r w:rsidRPr="008C782B">
        <w:rPr>
          <w:sz w:val="18"/>
          <w:szCs w:val="18"/>
          <w:lang w:val="de-DE"/>
        </w:rPr>
        <w:br w:type="page"/>
      </w:r>
    </w:p>
    <w:p w:rsidR="00F23682" w:rsidRPr="003930E6" w:rsidRDefault="009A1811" w:rsidP="00F23682">
      <w:pPr>
        <w:pStyle w:val="Heading2"/>
        <w:rPr>
          <w:lang w:val="de-DE"/>
        </w:rPr>
      </w:pPr>
      <w:r w:rsidRPr="009A1811">
        <w:rPr>
          <w:lang w:val="de-DE"/>
        </w:rPr>
        <w:lastRenderedPageBreak/>
        <w:t>Nettoumsatzerlöse</w:t>
      </w:r>
    </w:p>
    <w:p w:rsidR="003A3E9A" w:rsidRDefault="003A3E9A">
      <w:pPr>
        <w:pStyle w:val="Heading1"/>
        <w:numPr>
          <w:ilvl w:val="0"/>
          <w:numId w:val="0"/>
        </w:numPr>
        <w:ind w:left="450"/>
        <w:rPr>
          <w:lang w:val="de-DE"/>
        </w:rPr>
      </w:pPr>
    </w:p>
    <w:p w:rsidR="00F23682" w:rsidRDefault="009A1811" w:rsidP="00F23682">
      <w:pPr>
        <w:pStyle w:val="BodyText"/>
        <w:rPr>
          <w:lang w:val="de-DE"/>
        </w:rPr>
      </w:pPr>
      <w:r w:rsidRPr="009A1811">
        <w:rPr>
          <w:lang w:val="de-DE"/>
        </w:rPr>
        <w:t>Die Nettoumsatzerlöse der Gesellschaft für Zwecke der Feststellung der Pflicht zur Prüfung des Einzelabschlusses</w:t>
      </w:r>
      <w:r w:rsidR="001B063D">
        <w:rPr>
          <w:lang w:val="de-DE"/>
        </w:rPr>
        <w:t xml:space="preserve"> durch einen Wirtschaftsprüfer [</w:t>
      </w:r>
      <w:r w:rsidRPr="009A1811">
        <w:rPr>
          <w:lang w:val="de-DE"/>
        </w:rPr>
        <w:t>§ 19 Abs. 1 Buchst. a) des Rechnungslegungsgesetzes</w:t>
      </w:r>
      <w:r w:rsidR="001B063D">
        <w:rPr>
          <w:lang w:val="de-DE"/>
        </w:rPr>
        <w:t>]</w:t>
      </w:r>
      <w:r w:rsidRPr="009A1811">
        <w:rPr>
          <w:lang w:val="de-DE"/>
        </w:rPr>
        <w:t xml:space="preserve"> werden in folgender Übersicht aufgeführt:</w:t>
      </w:r>
    </w:p>
    <w:p w:rsidR="00B3123E" w:rsidRDefault="00252994" w:rsidP="00B3123E">
      <w:pPr>
        <w:pStyle w:val="BodyText"/>
        <w:rPr>
          <w:i/>
          <w:szCs w:val="18"/>
          <w:u w:val="single"/>
        </w:rPr>
      </w:pPr>
      <w:r>
        <w:rPr>
          <w:i/>
          <w:szCs w:val="18"/>
          <w:u w:val="single"/>
        </w:rPr>
        <w:t>(</w:t>
      </w:r>
      <w:r w:rsidR="00B3123E">
        <w:rPr>
          <w:i/>
          <w:szCs w:val="18"/>
          <w:u w:val="single"/>
        </w:rPr>
        <w:t>Der Inhalt, die Anzahl der Zeilen und Spalten in der Tabelle dürfen nicht geändert werden. Diese Information ist zu löschen.</w:t>
      </w:r>
      <w:r>
        <w:rPr>
          <w:i/>
          <w:szCs w:val="18"/>
          <w:u w:val="single"/>
        </w:rPr>
        <w:t>)</w:t>
      </w:r>
    </w:p>
    <w:p w:rsidR="0023480A" w:rsidRDefault="0023480A" w:rsidP="00F23682">
      <w:pPr>
        <w:pStyle w:val="BodyText"/>
        <w:rPr>
          <w:lang w:val="de-DE"/>
        </w:rPr>
      </w:pPr>
    </w:p>
    <w:bookmarkStart w:id="69" w:name="_MON_1410444378"/>
    <w:bookmarkEnd w:id="69"/>
    <w:p w:rsidR="0023480A" w:rsidRPr="003930E6" w:rsidRDefault="001D4082" w:rsidP="00F23682">
      <w:pPr>
        <w:pStyle w:val="BodyText"/>
        <w:rPr>
          <w:lang w:val="de-DE"/>
        </w:rPr>
      </w:pPr>
      <w:r>
        <w:object w:dxaOrig="8748" w:dyaOrig="2366">
          <v:shape id="_x0000_i1067" type="#_x0000_t75" style="width:438pt;height:132pt" o:ole="" o:preferrelative="f">
            <v:imagedata r:id="rId111" o:title=""/>
            <o:lock v:ext="edit" aspectratio="f"/>
          </v:shape>
          <o:OLEObject Type="Embed" ProgID="Excel.Sheet.12" ShapeID="_x0000_i1067" DrawAspect="Content" ObjectID="_1448991426" r:id="rId112"/>
        </w:object>
      </w:r>
    </w:p>
    <w:p w:rsidR="003A3E9A" w:rsidRPr="00C15AAD" w:rsidRDefault="003A3E9A">
      <w:pPr>
        <w:pStyle w:val="Heading1"/>
        <w:numPr>
          <w:ilvl w:val="0"/>
          <w:numId w:val="0"/>
        </w:numPr>
        <w:ind w:left="450"/>
        <w:rPr>
          <w:szCs w:val="18"/>
          <w:lang w:val="de-DE"/>
        </w:rPr>
      </w:pPr>
    </w:p>
    <w:p w:rsidR="00687C63" w:rsidRPr="00C15AAD" w:rsidRDefault="00687C63" w:rsidP="00687C63">
      <w:pPr>
        <w:rPr>
          <w:sz w:val="18"/>
          <w:szCs w:val="18"/>
          <w:lang w:val="de-DE"/>
        </w:rPr>
      </w:pPr>
    </w:p>
    <w:p w:rsidR="00704AEC" w:rsidRPr="00C15AAD" w:rsidRDefault="00704AEC" w:rsidP="00704AEC">
      <w:pPr>
        <w:pStyle w:val="Heading1"/>
        <w:numPr>
          <w:ilvl w:val="0"/>
          <w:numId w:val="0"/>
        </w:numPr>
        <w:ind w:left="450"/>
        <w:rPr>
          <w:szCs w:val="18"/>
          <w:lang w:val="de-DE"/>
        </w:rPr>
      </w:pPr>
    </w:p>
    <w:p w:rsidR="003A3E9A" w:rsidRPr="00C15AAD" w:rsidRDefault="008C782B">
      <w:pPr>
        <w:rPr>
          <w:sz w:val="18"/>
          <w:szCs w:val="18"/>
          <w:lang w:val="de-DE"/>
        </w:rPr>
      </w:pPr>
      <w:r w:rsidRPr="008C782B">
        <w:rPr>
          <w:sz w:val="18"/>
          <w:szCs w:val="18"/>
          <w:lang w:val="de-DE"/>
        </w:rPr>
        <w:br w:type="page"/>
      </w:r>
    </w:p>
    <w:p w:rsidR="00D26877" w:rsidRDefault="008F7B86">
      <w:pPr>
        <w:pStyle w:val="Heading1"/>
        <w:rPr>
          <w:lang w:val="de-DE"/>
        </w:rPr>
      </w:pPr>
      <w:r>
        <w:rPr>
          <w:lang w:val="de-DE"/>
        </w:rPr>
        <w:lastRenderedPageBreak/>
        <w:t>I</w:t>
      </w:r>
      <w:r w:rsidRPr="00975518">
        <w:rPr>
          <w:lang w:val="de-DE"/>
        </w:rPr>
        <w:t xml:space="preserve">nformATIONEN ÜBER DIE AUFWENDUNGEN </w:t>
      </w:r>
      <w:r w:rsidR="00697F7C" w:rsidRPr="00975518">
        <w:rPr>
          <w:lang w:val="de-DE"/>
        </w:rPr>
        <w:t xml:space="preserve"> </w:t>
      </w:r>
    </w:p>
    <w:p w:rsidR="00697F7C" w:rsidRPr="00975518" w:rsidRDefault="00697F7C" w:rsidP="00697F7C">
      <w:pPr>
        <w:pStyle w:val="BodyText"/>
        <w:rPr>
          <w:lang w:val="de-DE"/>
        </w:rPr>
      </w:pPr>
    </w:p>
    <w:p w:rsidR="00687C63" w:rsidRDefault="00697F7C" w:rsidP="00687C63">
      <w:pPr>
        <w:pStyle w:val="Heading2"/>
        <w:numPr>
          <w:ilvl w:val="0"/>
          <w:numId w:val="27"/>
        </w:numPr>
        <w:rPr>
          <w:lang w:val="de-DE"/>
        </w:rPr>
      </w:pPr>
      <w:r w:rsidRPr="00C51B54">
        <w:rPr>
          <w:lang w:val="de-DE"/>
        </w:rPr>
        <w:t>Aufwendungen für erbrachte Dienstleistungen</w:t>
      </w:r>
      <w:r w:rsidR="0023480A" w:rsidRPr="00C51B54">
        <w:rPr>
          <w:lang w:val="de-DE"/>
        </w:rPr>
        <w:t xml:space="preserve">, </w:t>
      </w:r>
      <w:r w:rsidR="00C51B54" w:rsidRPr="00C51B54">
        <w:rPr>
          <w:lang w:val="de-DE"/>
        </w:rPr>
        <w:t>s</w:t>
      </w:r>
      <w:r w:rsidR="00167134">
        <w:rPr>
          <w:lang w:val="de-DE"/>
        </w:rPr>
        <w:t>onstige Aufwendungen</w:t>
      </w:r>
      <w:r w:rsidR="00D93E01">
        <w:rPr>
          <w:lang w:val="de-DE"/>
        </w:rPr>
        <w:t xml:space="preserve"> auf die Wirtschaftstätigkeit</w:t>
      </w:r>
      <w:r w:rsidR="00167134">
        <w:rPr>
          <w:lang w:val="de-DE"/>
        </w:rPr>
        <w:t xml:space="preserve">, Finanzaufwendungen und </w:t>
      </w:r>
      <w:r w:rsidR="00D93E01">
        <w:rPr>
          <w:lang w:val="de-DE"/>
        </w:rPr>
        <w:t>a</w:t>
      </w:r>
      <w:r w:rsidR="00167134">
        <w:rPr>
          <w:lang w:val="de-DE"/>
        </w:rPr>
        <w:t>ußerordentliche Aufwendungen</w:t>
      </w:r>
    </w:p>
    <w:p w:rsidR="00687C63" w:rsidRDefault="00687C63" w:rsidP="00687C63">
      <w:pPr>
        <w:pStyle w:val="Heading2"/>
        <w:numPr>
          <w:ilvl w:val="0"/>
          <w:numId w:val="0"/>
        </w:numPr>
        <w:ind w:left="360"/>
        <w:rPr>
          <w:lang w:val="de-DE"/>
        </w:rPr>
      </w:pPr>
    </w:p>
    <w:p w:rsidR="00C51B54" w:rsidRDefault="00687C63" w:rsidP="00C51B54">
      <w:pPr>
        <w:pStyle w:val="BodyText"/>
        <w:rPr>
          <w:lang w:val="de-DE"/>
        </w:rPr>
      </w:pPr>
      <w:r w:rsidRPr="00687C63">
        <w:rPr>
          <w:lang w:val="de-DE"/>
        </w:rPr>
        <w:t>Übersicht über die Aufwendungen für erbrachte Dienstleistungen, sonstige Aufwendungen auf die Wirtschaftstätigkeit, Finanzaufwendungen und außerordentliche Aufwendungen:</w:t>
      </w:r>
    </w:p>
    <w:p w:rsidR="000E71EA" w:rsidRDefault="000E71EA" w:rsidP="00697F7C">
      <w:pPr>
        <w:pStyle w:val="BodyText"/>
        <w:rPr>
          <w:i/>
          <w:szCs w:val="18"/>
          <w:u w:val="single"/>
        </w:rPr>
      </w:pPr>
    </w:p>
    <w:p w:rsidR="000E71EA" w:rsidRDefault="000E71EA" w:rsidP="00697F7C">
      <w:pPr>
        <w:pStyle w:val="BodyText"/>
        <w:rPr>
          <w:i/>
          <w:szCs w:val="18"/>
          <w:u w:val="single"/>
        </w:rPr>
      </w:pPr>
      <w:r>
        <w:rPr>
          <w:i/>
          <w:szCs w:val="18"/>
          <w:u w:val="single"/>
        </w:rPr>
        <w:t xml:space="preserve">(Verpflichtende Angaben. Die Form und die </w:t>
      </w:r>
      <w:r w:rsidR="00175F9C">
        <w:rPr>
          <w:i/>
          <w:szCs w:val="18"/>
          <w:u w:val="single"/>
        </w:rPr>
        <w:t>Art</w:t>
      </w:r>
      <w:r w:rsidR="00124886">
        <w:rPr>
          <w:i/>
          <w:szCs w:val="18"/>
          <w:u w:val="single"/>
        </w:rPr>
        <w:t xml:space="preserve"> der Angabe </w:t>
      </w:r>
      <w:r w:rsidR="00175F9C">
        <w:rPr>
          <w:i/>
          <w:szCs w:val="18"/>
          <w:u w:val="single"/>
        </w:rPr>
        <w:t>der Informationen</w:t>
      </w:r>
      <w:r>
        <w:rPr>
          <w:i/>
          <w:szCs w:val="18"/>
          <w:u w:val="single"/>
        </w:rPr>
        <w:t xml:space="preserve"> </w:t>
      </w:r>
      <w:r w:rsidR="00027877" w:rsidRPr="00027877">
        <w:rPr>
          <w:b/>
          <w:i/>
          <w:szCs w:val="18"/>
          <w:u w:val="single"/>
        </w:rPr>
        <w:t>ausser</w:t>
      </w:r>
      <w:r>
        <w:rPr>
          <w:i/>
          <w:szCs w:val="18"/>
          <w:u w:val="single"/>
        </w:rPr>
        <w:t xml:space="preserve"> der Information von der Wirtschaftsp</w:t>
      </w:r>
      <w:r w:rsidR="009B2B9E">
        <w:rPr>
          <w:i/>
          <w:szCs w:val="18"/>
          <w:u w:val="single"/>
        </w:rPr>
        <w:t>r</w:t>
      </w:r>
      <w:r w:rsidR="00027877" w:rsidRPr="00027877">
        <w:rPr>
          <w:i/>
          <w:szCs w:val="18"/>
          <w:u w:val="single"/>
          <w:lang w:val="de-DE"/>
        </w:rPr>
        <w:t>ü</w:t>
      </w:r>
      <w:r>
        <w:rPr>
          <w:i/>
          <w:szCs w:val="18"/>
          <w:u w:val="single"/>
          <w:lang w:val="de-DE"/>
        </w:rPr>
        <w:t xml:space="preserve">fungsgesellschaft </w:t>
      </w:r>
      <w:r w:rsidR="00175F9C">
        <w:rPr>
          <w:i/>
          <w:szCs w:val="18"/>
          <w:u w:val="single"/>
        </w:rPr>
        <w:t>sind</w:t>
      </w:r>
      <w:r w:rsidR="004E2E37">
        <w:rPr>
          <w:i/>
          <w:szCs w:val="18"/>
          <w:u w:val="single"/>
        </w:rPr>
        <w:t xml:space="preserve"> nicht vorgeschrieben.</w:t>
      </w:r>
      <w:r>
        <w:rPr>
          <w:i/>
          <w:szCs w:val="18"/>
          <w:u w:val="single"/>
        </w:rPr>
        <w:t xml:space="preserve"> Diese Information ist zu löschen.)</w:t>
      </w:r>
    </w:p>
    <w:p w:rsidR="00C51B54" w:rsidRDefault="00C51B54" w:rsidP="00697F7C">
      <w:pPr>
        <w:pStyle w:val="BodyText"/>
        <w:rPr>
          <w:lang w:val="de-DE"/>
        </w:rPr>
      </w:pPr>
    </w:p>
    <w:bookmarkStart w:id="70" w:name="_MON_1410157354"/>
    <w:bookmarkEnd w:id="70"/>
    <w:p w:rsidR="00697F7C" w:rsidRPr="00975518" w:rsidRDefault="00C115F1" w:rsidP="00697F7C">
      <w:pPr>
        <w:pStyle w:val="BodyText"/>
        <w:rPr>
          <w:lang w:val="de-DE"/>
        </w:rPr>
      </w:pPr>
      <w:r w:rsidRPr="00167134">
        <w:object w:dxaOrig="8782" w:dyaOrig="9904">
          <v:shape id="_x0000_i1068" type="#_x0000_t75" style="width:438pt;height:553.5pt" o:ole="" o:preferrelative="f">
            <v:imagedata r:id="rId113" o:title=""/>
            <o:lock v:ext="edit" aspectratio="f"/>
          </v:shape>
          <o:OLEObject Type="Embed" ProgID="Excel.Sheet.12" ShapeID="_x0000_i1068" DrawAspect="Content" ObjectID="_1448991427" r:id="rId114"/>
        </w:object>
      </w:r>
    </w:p>
    <w:p w:rsidR="00697F7C" w:rsidRDefault="00697F7C" w:rsidP="00697F7C">
      <w:pPr>
        <w:pStyle w:val="BodyText"/>
      </w:pPr>
    </w:p>
    <w:p w:rsidR="00EB0931" w:rsidRPr="009A0A45" w:rsidRDefault="00EB0931" w:rsidP="00EB0931">
      <w:pPr>
        <w:pStyle w:val="Heading1"/>
        <w:rPr>
          <w:lang w:val="de-DE"/>
        </w:rPr>
      </w:pPr>
      <w:r w:rsidRPr="009A0A45">
        <w:rPr>
          <w:lang w:val="de-DE"/>
        </w:rPr>
        <w:t xml:space="preserve">InformATIONEN ÜBER DIE EINKOMMENSTEUER </w:t>
      </w:r>
    </w:p>
    <w:p w:rsidR="00EB0931" w:rsidRPr="009A0A45" w:rsidRDefault="00EB0931" w:rsidP="00EB0931">
      <w:pPr>
        <w:pStyle w:val="BodyText"/>
        <w:rPr>
          <w:lang w:val="de-DE"/>
        </w:rPr>
      </w:pPr>
    </w:p>
    <w:p w:rsidR="00EB0931" w:rsidRPr="009A0A45" w:rsidRDefault="00EB0931" w:rsidP="00EB0931">
      <w:pPr>
        <w:pStyle w:val="BodyText"/>
        <w:rPr>
          <w:lang w:val="de-DE"/>
        </w:rPr>
      </w:pPr>
      <w:r w:rsidRPr="009A0A45">
        <w:rPr>
          <w:lang w:val="de-DE"/>
        </w:rPr>
        <w:t>Die Überleitung von der theoretischen Einkommensteuer zur ausgewiesenen Einkommensteuer wir</w:t>
      </w:r>
      <w:r>
        <w:rPr>
          <w:lang w:val="de-DE"/>
        </w:rPr>
        <w:t>d in folgender Tabelle gezeigt:</w:t>
      </w:r>
    </w:p>
    <w:p w:rsidR="00B01E0B" w:rsidRDefault="00252994" w:rsidP="00B01E0B">
      <w:pPr>
        <w:pStyle w:val="BodyText"/>
        <w:rPr>
          <w:i/>
          <w:szCs w:val="18"/>
          <w:u w:val="single"/>
        </w:rPr>
      </w:pPr>
      <w:r>
        <w:rPr>
          <w:i/>
          <w:szCs w:val="18"/>
          <w:u w:val="single"/>
        </w:rPr>
        <w:t>(</w:t>
      </w:r>
      <w:r w:rsidR="00B01E0B">
        <w:rPr>
          <w:i/>
          <w:szCs w:val="18"/>
          <w:u w:val="single"/>
        </w:rPr>
        <w:t>Der Inhalt, die Anzahl der Zeilen und Spalten in der Tabelle dürfen nicht geändert werden. Diese Information ist zu löschen.</w:t>
      </w:r>
      <w:r>
        <w:rPr>
          <w:i/>
          <w:szCs w:val="18"/>
          <w:u w:val="single"/>
        </w:rPr>
        <w:t>)</w:t>
      </w:r>
    </w:p>
    <w:p w:rsidR="00EB0931" w:rsidRDefault="00EB0931" w:rsidP="00EB0931">
      <w:pPr>
        <w:pStyle w:val="BodyText"/>
        <w:rPr>
          <w:lang w:val="de-DE"/>
        </w:rPr>
      </w:pPr>
    </w:p>
    <w:bookmarkStart w:id="71" w:name="_MON_1410158139"/>
    <w:bookmarkEnd w:id="71"/>
    <w:p w:rsidR="00C51B54" w:rsidRPr="009A0A45" w:rsidRDefault="00CA395C" w:rsidP="00EB0931">
      <w:pPr>
        <w:pStyle w:val="BodyText"/>
        <w:rPr>
          <w:lang w:val="de-DE"/>
        </w:rPr>
      </w:pPr>
      <w:r w:rsidRPr="00003C63">
        <w:object w:dxaOrig="9129" w:dyaOrig="6075">
          <v:shape id="_x0000_i1085" type="#_x0000_t75" style="width:439.5pt;height:327.75pt" o:ole="" o:preferrelative="f">
            <v:imagedata r:id="rId115" o:title=""/>
            <o:lock v:ext="edit" aspectratio="f"/>
          </v:shape>
          <o:OLEObject Type="Embed" ProgID="Excel.Sheet.12" ShapeID="_x0000_i1085" DrawAspect="Content" ObjectID="_1448991428" r:id="rId116"/>
        </w:object>
      </w:r>
    </w:p>
    <w:p w:rsidR="00B3123E" w:rsidRDefault="00B3123E">
      <w:pPr>
        <w:spacing w:after="200" w:line="276" w:lineRule="auto"/>
        <w:rPr>
          <w:sz w:val="18"/>
          <w:lang w:val="de-DE"/>
        </w:rPr>
      </w:pPr>
      <w:r>
        <w:rPr>
          <w:lang w:val="de-DE"/>
        </w:rPr>
        <w:br w:type="page"/>
      </w:r>
    </w:p>
    <w:p w:rsidR="000658BA" w:rsidRPr="00C758A4" w:rsidRDefault="000658BA" w:rsidP="000658BA">
      <w:pPr>
        <w:pStyle w:val="BodyText"/>
        <w:rPr>
          <w:lang w:val="de-DE"/>
        </w:rPr>
      </w:pPr>
      <w:r>
        <w:rPr>
          <w:lang w:val="de-DE"/>
        </w:rPr>
        <w:lastRenderedPageBreak/>
        <w:t xml:space="preserve">Weitere Informationen </w:t>
      </w:r>
      <w:r>
        <w:rPr>
          <w:lang w:val="de-AT"/>
        </w:rPr>
        <w:t xml:space="preserve">über die </w:t>
      </w:r>
      <w:r w:rsidRPr="00C758A4">
        <w:rPr>
          <w:lang w:val="de-DE"/>
        </w:rPr>
        <w:t>latenten Steuer</w:t>
      </w:r>
      <w:r>
        <w:rPr>
          <w:lang w:val="de-DE"/>
        </w:rPr>
        <w:t>n</w:t>
      </w:r>
      <w:r w:rsidRPr="00C758A4">
        <w:rPr>
          <w:lang w:val="de-DE"/>
        </w:rPr>
        <w:t xml:space="preserve">: </w:t>
      </w:r>
    </w:p>
    <w:p w:rsidR="00B01E0B" w:rsidRDefault="00252994" w:rsidP="00B01E0B">
      <w:pPr>
        <w:pStyle w:val="BodyText"/>
        <w:rPr>
          <w:i/>
          <w:szCs w:val="18"/>
          <w:u w:val="single"/>
        </w:rPr>
      </w:pPr>
      <w:r>
        <w:rPr>
          <w:i/>
          <w:szCs w:val="18"/>
          <w:u w:val="single"/>
        </w:rPr>
        <w:t>(</w:t>
      </w:r>
      <w:r w:rsidR="00B01E0B">
        <w:rPr>
          <w:i/>
          <w:szCs w:val="18"/>
          <w:u w:val="single"/>
        </w:rPr>
        <w:t>Der Inhalt, die Anzahl der Zeilen und Spalten in der Tabelle dürfen nicht geändert werden. Diese Information ist zu löschen.</w:t>
      </w:r>
      <w:r>
        <w:rPr>
          <w:i/>
          <w:szCs w:val="18"/>
          <w:u w:val="single"/>
        </w:rPr>
        <w:t>)</w:t>
      </w:r>
    </w:p>
    <w:p w:rsidR="000658BA" w:rsidRPr="00C758A4" w:rsidRDefault="000658BA" w:rsidP="000658BA">
      <w:pPr>
        <w:pStyle w:val="BodyText"/>
        <w:rPr>
          <w:lang w:val="de-DE"/>
        </w:rPr>
      </w:pPr>
    </w:p>
    <w:bookmarkStart w:id="72" w:name="_MON_1410444966"/>
    <w:bookmarkEnd w:id="72"/>
    <w:p w:rsidR="00CB3140" w:rsidRDefault="00E44D9F" w:rsidP="00CB3140">
      <w:pPr>
        <w:pStyle w:val="BodyText"/>
      </w:pPr>
      <w:r>
        <w:object w:dxaOrig="9023" w:dyaOrig="6046">
          <v:shape id="_x0000_i1069" type="#_x0000_t75" style="width:439.5pt;height:327.75pt" o:ole="" o:preferrelative="f">
            <v:imagedata r:id="rId117" o:title=""/>
            <o:lock v:ext="edit" aspectratio="f"/>
          </v:shape>
          <o:OLEObject Type="Embed" ProgID="Excel.Sheet.12" ShapeID="_x0000_i1069" DrawAspect="Content" ObjectID="_1448991429" r:id="rId118"/>
        </w:object>
      </w:r>
    </w:p>
    <w:p w:rsidR="0006636B" w:rsidRDefault="0006636B" w:rsidP="0006636B">
      <w:pPr>
        <w:pStyle w:val="BodyText"/>
        <w:rPr>
          <w:lang w:val="de-DE"/>
        </w:rPr>
      </w:pPr>
    </w:p>
    <w:p w:rsidR="00B3123E" w:rsidRDefault="00B3123E" w:rsidP="00CB3140">
      <w:pPr>
        <w:pStyle w:val="BodyText"/>
        <w:rPr>
          <w:lang w:val="de-DE"/>
        </w:rPr>
      </w:pPr>
    </w:p>
    <w:p w:rsidR="0006636B" w:rsidRDefault="0006636B" w:rsidP="00CB3140">
      <w:pPr>
        <w:pStyle w:val="BodyText"/>
        <w:rPr>
          <w:lang w:val="de-DE"/>
        </w:rPr>
      </w:pPr>
    </w:p>
    <w:p w:rsidR="00CB3140" w:rsidRPr="00373667" w:rsidRDefault="00CB3140" w:rsidP="00CB3140">
      <w:pPr>
        <w:pStyle w:val="Heading1"/>
        <w:rPr>
          <w:lang w:val="de-DE"/>
        </w:rPr>
      </w:pPr>
      <w:r w:rsidRPr="00373667">
        <w:rPr>
          <w:lang w:val="de-DE"/>
        </w:rPr>
        <w:t xml:space="preserve">InformATIONEN ÜBER ANGABEN AUF UNTERBILANZKONTEN </w:t>
      </w:r>
    </w:p>
    <w:p w:rsidR="00CB3140" w:rsidRDefault="00CB3140" w:rsidP="00CB3140">
      <w:pPr>
        <w:pStyle w:val="BodyText"/>
        <w:rPr>
          <w:lang w:val="de-DE"/>
        </w:rPr>
      </w:pPr>
    </w:p>
    <w:p w:rsidR="00944FA7" w:rsidRPr="00BF425D" w:rsidRDefault="00944FA7" w:rsidP="00944FA7">
      <w:pPr>
        <w:pStyle w:val="BodyText"/>
        <w:rPr>
          <w:b/>
          <w:i/>
          <w:u w:val="single"/>
        </w:rPr>
      </w:pPr>
      <w:r>
        <w:rPr>
          <w:b/>
          <w:i/>
          <w:u w:val="single"/>
        </w:rPr>
        <w:t>Angemietete Vermögensgegenstände</w:t>
      </w:r>
    </w:p>
    <w:p w:rsidR="00944FA7" w:rsidRDefault="00944FA7" w:rsidP="00944FA7">
      <w:pPr>
        <w:pStyle w:val="BodyText"/>
      </w:pPr>
    </w:p>
    <w:p w:rsidR="00944FA7" w:rsidRDefault="00944FA7" w:rsidP="00944FA7">
      <w:pPr>
        <w:pStyle w:val="BodyText"/>
      </w:pPr>
      <w:r>
        <w:t xml:space="preserve">Die Gesellschaft hat eine Fertigungslinie von einer nahestehenden Person gemietet (operatives Leasing). Der Mietvertrag </w:t>
      </w:r>
      <w:r w:rsidR="00C17A50">
        <w:t xml:space="preserve">wurde bis zum Jahr </w:t>
      </w:r>
      <w:r w:rsidR="000600D6">
        <w:t xml:space="preserve">2016 </w:t>
      </w:r>
      <w:r w:rsidR="00C17A50">
        <w:t>abgeschlossen. Die Jahresmietaufwendungen betragen  ca. EUR 170 000. Die auf den Unterbilanzkonten erfassten Mietverbindlichkeiten betragen EUR 510 000 (Jahr 201</w:t>
      </w:r>
      <w:r w:rsidR="000600D6">
        <w:t>2</w:t>
      </w:r>
      <w:r w:rsidR="00C17A50">
        <w:t>: EUR 680 000).</w:t>
      </w:r>
    </w:p>
    <w:p w:rsidR="00944FA7" w:rsidRDefault="00944FA7" w:rsidP="00944FA7">
      <w:pPr>
        <w:pStyle w:val="BodyText"/>
      </w:pPr>
    </w:p>
    <w:p w:rsidR="00944FA7" w:rsidRPr="00CA1B1A" w:rsidRDefault="00944FA7" w:rsidP="00944FA7">
      <w:pPr>
        <w:pStyle w:val="BodyText"/>
      </w:pPr>
      <w:r>
        <w:t xml:space="preserve">Der Wert des gemieteten Vermögensgegenstandes wurde im Realwert [fair value] angegeben, der durch einen </w:t>
      </w:r>
      <w:r w:rsidR="00C17A50">
        <w:t xml:space="preserve">Gerichtssachverständigen (alternativ: durch eine fachliche Einschätzung u.ä..) ermittelt wurde. </w:t>
      </w:r>
    </w:p>
    <w:p w:rsidR="00944FA7" w:rsidRPr="00CA1B1A" w:rsidRDefault="00C17A50" w:rsidP="00944FA7">
      <w:pPr>
        <w:pStyle w:val="BodyText"/>
      </w:pPr>
      <w:r>
        <w:rPr>
          <w:i/>
          <w:u w:val="single"/>
        </w:rPr>
        <w:t>Alternativer Text:</w:t>
      </w:r>
      <w:r>
        <w:t xml:space="preserve"> Die Gesellschaft kennt nicht den Wert des gemieteten Vermögensgegenstandes, die Aufwendungen für dessen Ermittlung würden den Nutzen aus der Gewinnung der Information über diesen Wert mehrmals übersteigen.  </w:t>
      </w:r>
    </w:p>
    <w:p w:rsidR="00944FA7" w:rsidRPr="00CA1B1A" w:rsidRDefault="00944FA7" w:rsidP="00944FA7">
      <w:pPr>
        <w:pStyle w:val="BodyText"/>
      </w:pPr>
    </w:p>
    <w:p w:rsidR="00944FA7" w:rsidRPr="00CA1B1A" w:rsidRDefault="00C17A50" w:rsidP="00944FA7">
      <w:pPr>
        <w:pStyle w:val="BodyText"/>
      </w:pPr>
      <w:r>
        <w:t>Die Gesellschaft hat einen Teil der Verwaltungsräume (580 m²) von einer Drittperson gemietet. Der Mietvertrag wurde bis bis zum Jahr 201</w:t>
      </w:r>
      <w:r w:rsidR="000600D6">
        <w:t>7</w:t>
      </w:r>
      <w:r>
        <w:t>, mit einer Kündigungsmöglichkeit in bestimmten Fällen, abgeschlossen.  Die Kündigungsfrist beträgt 6 Monate vor Ablauf des Kalenderjahres. Die Jahresmiete beträgt EUR 86 300. Die auf den Unterbilanzkonten erfassten Mietverbindlichkeiten betragen EUR 345 200 (Jahr 201</w:t>
      </w:r>
      <w:r w:rsidR="000600D6">
        <w:t>2</w:t>
      </w:r>
      <w:r>
        <w:t>: EUR 431 500).</w:t>
      </w:r>
    </w:p>
    <w:p w:rsidR="00944FA7" w:rsidRPr="00CA1B1A" w:rsidRDefault="00944FA7" w:rsidP="00944FA7">
      <w:pPr>
        <w:pStyle w:val="BodyText"/>
      </w:pPr>
    </w:p>
    <w:p w:rsidR="00944FA7" w:rsidRPr="00CA1B1A" w:rsidRDefault="00C17A50" w:rsidP="00944FA7">
      <w:pPr>
        <w:pStyle w:val="BodyText"/>
        <w:rPr>
          <w:b/>
          <w:i/>
          <w:u w:val="single"/>
        </w:rPr>
      </w:pPr>
      <w:r>
        <w:rPr>
          <w:b/>
          <w:i/>
          <w:u w:val="single"/>
        </w:rPr>
        <w:t>Vermietete Vermögensgegenstände</w:t>
      </w:r>
    </w:p>
    <w:p w:rsidR="00944FA7" w:rsidRPr="00CA1B1A" w:rsidRDefault="00944FA7" w:rsidP="00944FA7">
      <w:pPr>
        <w:pStyle w:val="BodyText"/>
      </w:pPr>
    </w:p>
    <w:p w:rsidR="00944FA7" w:rsidRPr="00CA1B1A" w:rsidRDefault="00C17A50" w:rsidP="00944FA7">
      <w:pPr>
        <w:pStyle w:val="BodyText"/>
      </w:pPr>
      <w:r>
        <w:t>Die Gesellschaft vermietet einen Teil der Fertigungshalle (1 240 m</w:t>
      </w:r>
      <w:r>
        <w:rPr>
          <w:vertAlign w:val="superscript"/>
        </w:rPr>
        <w:t>2</w:t>
      </w:r>
      <w:r>
        <w:t>) an eine Drittperson zu Produktionszwecken. Die Jahreserträge aus der Vermietung  betragen ca. EUR 13 300. Der Mietvertrag wurde bis zum Jahr 201</w:t>
      </w:r>
      <w:r w:rsidR="000600D6">
        <w:t>6</w:t>
      </w:r>
      <w:r>
        <w:t xml:space="preserve"> abgeschlossen. Der vermietete Teil der Fertigungshalle wird in der Bilanz als Sachanlage ausgewiesen. Die auf den Unterbilanzkonten erfassten Mietforderungen betragen EUR 39 900 (Jahr 201</w:t>
      </w:r>
      <w:r w:rsidR="000600D6">
        <w:t>2</w:t>
      </w:r>
      <w:r>
        <w:t>: EUR 53 200 ).</w:t>
      </w:r>
    </w:p>
    <w:p w:rsidR="00944FA7" w:rsidRDefault="00944FA7" w:rsidP="00944FA7">
      <w:pPr>
        <w:pStyle w:val="BodyText"/>
        <w:rPr>
          <w:i/>
        </w:rPr>
      </w:pPr>
    </w:p>
    <w:p w:rsidR="00F01166" w:rsidRDefault="008C782B">
      <w:pPr>
        <w:pStyle w:val="BodyText"/>
        <w:rPr>
          <w:i/>
          <w:u w:val="single"/>
        </w:rPr>
      </w:pPr>
      <w:r w:rsidRPr="008C782B">
        <w:rPr>
          <w:b/>
          <w:i/>
          <w:u w:val="single"/>
        </w:rPr>
        <w:t>Sonstige finanzielle Verpflichtungen</w:t>
      </w:r>
    </w:p>
    <w:p w:rsidR="00DB0A00" w:rsidRPr="00CA1B1A" w:rsidRDefault="00DB0A00" w:rsidP="00DB0A00">
      <w:pPr>
        <w:pStyle w:val="BodyText"/>
        <w:rPr>
          <w:lang w:val="de-DE"/>
        </w:rPr>
      </w:pPr>
    </w:p>
    <w:p w:rsidR="00DB0A00" w:rsidRPr="00CA1B1A" w:rsidRDefault="00C17A50" w:rsidP="00DB0A00">
      <w:pPr>
        <w:pStyle w:val="BodyText"/>
        <w:rPr>
          <w:lang w:val="de-DE"/>
        </w:rPr>
      </w:pPr>
      <w:r>
        <w:rPr>
          <w:lang w:val="de-DE"/>
        </w:rPr>
        <w:t xml:space="preserve">Sonstige finanzielle Verpflichtungen, die weder in der laufenden Buchführung geführt noch in der Bilanz ausgewiesen werden, sind wie folgt: </w:t>
      </w:r>
    </w:p>
    <w:p w:rsidR="00DB0A00" w:rsidRPr="00CA1B1A" w:rsidRDefault="00DB0A00" w:rsidP="00DB0A00">
      <w:pPr>
        <w:pStyle w:val="BodyText"/>
        <w:rPr>
          <w:lang w:val="de-DE"/>
        </w:rPr>
      </w:pPr>
    </w:p>
    <w:p w:rsidR="00DB0A00" w:rsidRPr="00CA1B1A" w:rsidRDefault="00C17A50" w:rsidP="00DB0A00">
      <w:pPr>
        <w:pStyle w:val="BodyText"/>
        <w:numPr>
          <w:ilvl w:val="0"/>
          <w:numId w:val="14"/>
        </w:numPr>
        <w:tabs>
          <w:tab w:val="clear" w:pos="360"/>
          <w:tab w:val="num" w:pos="709"/>
        </w:tabs>
        <w:ind w:left="709" w:hanging="283"/>
      </w:pPr>
      <w:r>
        <w:rPr>
          <w:lang w:val="de-DE"/>
        </w:rPr>
        <w:t>Die Gesellschaft hat mit der Muttergesellschaft einen Lizenzvertrag für die Jahre 201</w:t>
      </w:r>
      <w:r w:rsidR="000600D6">
        <w:rPr>
          <w:lang w:val="de-DE"/>
        </w:rPr>
        <w:t>2</w:t>
      </w:r>
      <w:r>
        <w:rPr>
          <w:lang w:val="de-DE"/>
        </w:rPr>
        <w:t xml:space="preserve"> – 201</w:t>
      </w:r>
      <w:r w:rsidR="000600D6">
        <w:rPr>
          <w:lang w:val="de-DE"/>
        </w:rPr>
        <w:t>8</w:t>
      </w:r>
      <w:r>
        <w:rPr>
          <w:lang w:val="de-DE"/>
        </w:rPr>
        <w:t xml:space="preserve"> über die Herstellung von Elektromotoren Typ ELMO-2B abgeschlossen, nach dem sie jährlich eine fixe Lizenzgebühr i.H.v. EUR 35 000 und für jeden hergestellten und verkauften Elektromotor eine variable Lizenzgebühr i.H.v. EUR 5 abzuführen hat. Im Jahr 201</w:t>
      </w:r>
      <w:r w:rsidR="000600D6">
        <w:rPr>
          <w:lang w:val="de-DE"/>
        </w:rPr>
        <w:t>3</w:t>
      </w:r>
      <w:r>
        <w:rPr>
          <w:lang w:val="de-DE"/>
        </w:rPr>
        <w:t xml:space="preserve"> hat sie 5 300 Stück dieser Elektromotoren hergestellt und verkauft, im Jahr 201</w:t>
      </w:r>
      <w:r w:rsidR="000600D6">
        <w:rPr>
          <w:lang w:val="de-DE"/>
        </w:rPr>
        <w:t>4</w:t>
      </w:r>
      <w:r>
        <w:rPr>
          <w:lang w:val="de-DE"/>
        </w:rPr>
        <w:t xml:space="preserve"> plant sie, 7 000 Stück und in den nachfolgenden Jahren ca. je 10 000 Stück jährlich herzustellen und zu verkaufen.</w:t>
      </w:r>
      <w:r w:rsidR="008C782B" w:rsidRPr="008C782B">
        <w:t xml:space="preserve"> Die auf den Unterbilanzkonten erfassten Verbindlichkeiten der Gesellschaft aus dem genannten Lizenzvertrag sind i.H.v. EUR 260 000 (Jahr 201</w:t>
      </w:r>
      <w:r w:rsidR="000600D6">
        <w:t>2</w:t>
      </w:r>
      <w:r w:rsidR="008C782B" w:rsidRPr="008C782B">
        <w:t xml:space="preserve">: EUR 321 500). Die genannten Verbindlichkeiten werden in der oben angeführten Tabelle in die Zeile Andere Posten einbezogen. </w:t>
      </w:r>
    </w:p>
    <w:p w:rsidR="00DB0A00" w:rsidRPr="00CA1B1A" w:rsidRDefault="00C17A50" w:rsidP="00DB0A00">
      <w:pPr>
        <w:pStyle w:val="BodyText"/>
        <w:numPr>
          <w:ilvl w:val="0"/>
          <w:numId w:val="14"/>
        </w:numPr>
        <w:tabs>
          <w:tab w:val="clear" w:pos="360"/>
          <w:tab w:val="num" w:pos="709"/>
        </w:tabs>
        <w:ind w:left="709" w:hanging="283"/>
        <w:rPr>
          <w:lang w:val="de-DE"/>
        </w:rPr>
      </w:pPr>
      <w:r>
        <w:rPr>
          <w:lang w:val="de-DE"/>
        </w:rPr>
        <w:t>Die Gesellschaft plant, in den Jahren 201</w:t>
      </w:r>
      <w:r w:rsidR="000600D6">
        <w:rPr>
          <w:lang w:val="de-DE"/>
        </w:rPr>
        <w:t>4</w:t>
      </w:r>
      <w:r>
        <w:rPr>
          <w:lang w:val="de-DE"/>
        </w:rPr>
        <w:t xml:space="preserve"> – 201</w:t>
      </w:r>
      <w:r w:rsidR="000600D6">
        <w:rPr>
          <w:lang w:val="de-DE"/>
        </w:rPr>
        <w:t>5</w:t>
      </w:r>
      <w:r>
        <w:rPr>
          <w:lang w:val="de-DE"/>
        </w:rPr>
        <w:t xml:space="preserve"> einen Teil des Herstellungssortimentes zu ändern und an diese Änderung auch die Fertigungsanlage anzupassen</w:t>
      </w:r>
      <w:r>
        <w:rPr>
          <w:color w:val="008000"/>
          <w:lang w:val="de-DE"/>
        </w:rPr>
        <w:t>.</w:t>
      </w:r>
      <w:r>
        <w:rPr>
          <w:lang w:val="de-DE"/>
        </w:rPr>
        <w:t xml:space="preserve"> Sie hat bereits die entsprechenden Verträge mit den Lieferanten abgeschlossen, nach denen sie im Jahr 201</w:t>
      </w:r>
      <w:r w:rsidR="000600D6">
        <w:rPr>
          <w:lang w:val="de-DE"/>
        </w:rPr>
        <w:t>4</w:t>
      </w:r>
      <w:r>
        <w:rPr>
          <w:lang w:val="de-DE"/>
        </w:rPr>
        <w:t xml:space="preserve"> ca. EUR 330 000 und im Jahr 201</w:t>
      </w:r>
      <w:r w:rsidR="000600D6">
        <w:rPr>
          <w:lang w:val="de-DE"/>
        </w:rPr>
        <w:t>5</w:t>
      </w:r>
      <w:r>
        <w:rPr>
          <w:lang w:val="de-DE"/>
        </w:rPr>
        <w:t xml:space="preserve"> ca. EUR 470 000 investieren wird.</w:t>
      </w:r>
      <w:r w:rsidR="008C782B" w:rsidRPr="008C782B">
        <w:t xml:space="preserve"> Die auf den Unterbilanzkonten erfassten Verbindlichkeiten der Gesellschaft aus den genannten Verträgen sind i.H.v. EUR 800 000 (Jahr 201</w:t>
      </w:r>
      <w:r w:rsidR="000600D6">
        <w:t>2</w:t>
      </w:r>
      <w:r w:rsidR="008C782B" w:rsidRPr="008C782B">
        <w:t>: EUR 0). Die genannten Verbindlichkeiten werden in der oben angeführten Tabelle in die Zeile Andere Posten einbezogen.</w:t>
      </w:r>
    </w:p>
    <w:p w:rsidR="00B01E0B" w:rsidRPr="00CA1B1A" w:rsidRDefault="00B01E0B" w:rsidP="00B01E0B">
      <w:pPr>
        <w:pStyle w:val="BodyText"/>
        <w:ind w:left="766"/>
      </w:pPr>
    </w:p>
    <w:p w:rsidR="00F01166" w:rsidRDefault="00F01166">
      <w:pPr>
        <w:pStyle w:val="Heading1"/>
        <w:numPr>
          <w:ilvl w:val="0"/>
          <w:numId w:val="0"/>
        </w:numPr>
        <w:ind w:left="450"/>
      </w:pPr>
    </w:p>
    <w:p w:rsidR="00CB3140" w:rsidRPr="00FA138D" w:rsidRDefault="00CB3140" w:rsidP="00CB3140">
      <w:pPr>
        <w:pStyle w:val="Heading1"/>
        <w:rPr>
          <w:lang w:val="de-DE"/>
        </w:rPr>
      </w:pPr>
      <w:r w:rsidRPr="00FA138D">
        <w:rPr>
          <w:lang w:val="de-DE"/>
        </w:rPr>
        <w:t xml:space="preserve">InformATIONEN ÜBER ANDERE AKTIVA UND ANDERE PASSIVA </w:t>
      </w:r>
    </w:p>
    <w:p w:rsidR="00CB3140" w:rsidRPr="00430517" w:rsidRDefault="00CB3140" w:rsidP="00CB3140">
      <w:pPr>
        <w:pStyle w:val="BodyText"/>
        <w:ind w:left="0"/>
        <w:rPr>
          <w:lang w:val="de-DE"/>
        </w:rPr>
      </w:pPr>
    </w:p>
    <w:p w:rsidR="00CB3140" w:rsidRPr="005E09B4" w:rsidRDefault="00CB3140" w:rsidP="005E09B4">
      <w:pPr>
        <w:pStyle w:val="Heading2"/>
        <w:numPr>
          <w:ilvl w:val="0"/>
          <w:numId w:val="16"/>
        </w:numPr>
        <w:rPr>
          <w:lang w:val="de-DE"/>
        </w:rPr>
      </w:pPr>
      <w:r w:rsidRPr="005E09B4">
        <w:rPr>
          <w:lang w:val="de-DE"/>
        </w:rPr>
        <w:t>Eventualverbindlichkeiten</w:t>
      </w:r>
    </w:p>
    <w:p w:rsidR="00CB3140" w:rsidRPr="00430517" w:rsidRDefault="00CB3140" w:rsidP="00CB3140">
      <w:pPr>
        <w:pStyle w:val="BodyText"/>
        <w:rPr>
          <w:lang w:val="de-DE"/>
        </w:rPr>
      </w:pPr>
    </w:p>
    <w:p w:rsidR="00CB3140" w:rsidRDefault="00CB3140" w:rsidP="00CB3140">
      <w:pPr>
        <w:pStyle w:val="BodyText"/>
        <w:rPr>
          <w:lang w:val="de-DE"/>
        </w:rPr>
      </w:pPr>
      <w:r w:rsidRPr="003B20D0">
        <w:rPr>
          <w:lang w:val="de-DE"/>
        </w:rPr>
        <w:t>Die Gesellschaft hat folgende Eventualverbindlichkeiten (diese erscheinen weder in der laufenden Buchführung noch in der Bilanz):</w:t>
      </w:r>
      <w:r w:rsidRPr="00430517">
        <w:rPr>
          <w:lang w:val="de-DE"/>
        </w:rPr>
        <w:t xml:space="preserve"> </w:t>
      </w:r>
    </w:p>
    <w:p w:rsidR="00CB3140" w:rsidRPr="00430517" w:rsidRDefault="00CB3140" w:rsidP="00CB3140">
      <w:pPr>
        <w:pStyle w:val="BodyText"/>
        <w:rPr>
          <w:lang w:val="de-DE"/>
        </w:rPr>
      </w:pPr>
    </w:p>
    <w:p w:rsidR="00CB3140" w:rsidRPr="00430517" w:rsidRDefault="00CB3140" w:rsidP="00CB3140">
      <w:pPr>
        <w:pStyle w:val="BodyText"/>
        <w:numPr>
          <w:ilvl w:val="0"/>
          <w:numId w:val="14"/>
        </w:numPr>
        <w:tabs>
          <w:tab w:val="clear" w:pos="360"/>
          <w:tab w:val="num" w:pos="709"/>
        </w:tabs>
        <w:ind w:left="709" w:hanging="283"/>
        <w:rPr>
          <w:lang w:val="de-DE"/>
        </w:rPr>
      </w:pPr>
      <w:r w:rsidRPr="00430517">
        <w:rPr>
          <w:lang w:val="de-DE"/>
        </w:rPr>
        <w:t>Die Gesellschaft haftet für den Bankkredit, den die Bank ihrer Tochtergesellschaft ABC Motoren SR, s.</w:t>
      </w:r>
      <w:r w:rsidR="00252994">
        <w:rPr>
          <w:lang w:val="de-DE"/>
        </w:rPr>
        <w:t xml:space="preserve"> </w:t>
      </w:r>
      <w:r w:rsidRPr="00430517">
        <w:rPr>
          <w:lang w:val="de-DE"/>
        </w:rPr>
        <w:t>r.</w:t>
      </w:r>
      <w:r w:rsidR="00252994">
        <w:rPr>
          <w:lang w:val="de-DE"/>
        </w:rPr>
        <w:t xml:space="preserve"> </w:t>
      </w:r>
      <w:r w:rsidRPr="00430517">
        <w:rPr>
          <w:lang w:val="de-DE"/>
        </w:rPr>
        <w:t xml:space="preserve">o., Martin, in Höhe von EUR </w:t>
      </w:r>
      <w:r>
        <w:rPr>
          <w:lang w:val="de-DE"/>
        </w:rPr>
        <w:t xml:space="preserve">100 </w:t>
      </w:r>
      <w:r w:rsidRPr="00430517">
        <w:rPr>
          <w:lang w:val="de-DE"/>
        </w:rPr>
        <w:t>000 gewährt hat. D</w:t>
      </w:r>
      <w:r>
        <w:rPr>
          <w:lang w:val="de-DE"/>
        </w:rPr>
        <w:t xml:space="preserve">er Kredit ist in den Jahren </w:t>
      </w:r>
      <w:r w:rsidR="00A671F9">
        <w:rPr>
          <w:lang w:val="de-DE"/>
        </w:rPr>
        <w:t>201</w:t>
      </w:r>
      <w:r w:rsidR="000600D6">
        <w:rPr>
          <w:lang w:val="de-DE"/>
        </w:rPr>
        <w:t>6</w:t>
      </w:r>
      <w:r w:rsidR="00A671F9" w:rsidRPr="00430517">
        <w:rPr>
          <w:lang w:val="de-DE"/>
        </w:rPr>
        <w:t xml:space="preserve"> </w:t>
      </w:r>
      <w:r w:rsidRPr="00430517">
        <w:rPr>
          <w:lang w:val="de-DE"/>
        </w:rPr>
        <w:t xml:space="preserve">– </w:t>
      </w:r>
      <w:r w:rsidR="00A671F9">
        <w:rPr>
          <w:lang w:val="de-DE"/>
        </w:rPr>
        <w:t>201</w:t>
      </w:r>
      <w:r w:rsidR="000600D6">
        <w:rPr>
          <w:lang w:val="de-DE"/>
        </w:rPr>
        <w:t>9</w:t>
      </w:r>
      <w:r w:rsidR="00A671F9" w:rsidRPr="00430517">
        <w:rPr>
          <w:lang w:val="de-DE"/>
        </w:rPr>
        <w:t xml:space="preserve"> </w:t>
      </w:r>
      <w:r w:rsidRPr="00430517">
        <w:rPr>
          <w:lang w:val="de-DE"/>
        </w:rPr>
        <w:t xml:space="preserve">fällig und der Zinssatz beträgt </w:t>
      </w:r>
      <w:r w:rsidR="004C5469">
        <w:rPr>
          <w:lang w:val="de-DE"/>
        </w:rPr>
        <w:br/>
      </w:r>
      <w:r w:rsidR="00662414">
        <w:rPr>
          <w:lang w:val="de-DE"/>
        </w:rPr>
        <w:t>5,1</w:t>
      </w:r>
      <w:r w:rsidR="004C5469">
        <w:rPr>
          <w:lang w:val="de-DE"/>
        </w:rPr>
        <w:t xml:space="preserve"> </w:t>
      </w:r>
      <w:r w:rsidRPr="00430517">
        <w:rPr>
          <w:lang w:val="de-DE"/>
        </w:rPr>
        <w:t>%</w:t>
      </w:r>
      <w:r>
        <w:rPr>
          <w:lang w:val="de-DE"/>
        </w:rPr>
        <w:t xml:space="preserve"> p.a</w:t>
      </w:r>
      <w:r w:rsidRPr="00430517">
        <w:rPr>
          <w:lang w:val="de-DE"/>
        </w:rPr>
        <w:t>.</w:t>
      </w:r>
    </w:p>
    <w:p w:rsidR="00CB3140" w:rsidRDefault="00CB3140" w:rsidP="00CB3140">
      <w:pPr>
        <w:pStyle w:val="BodyText"/>
        <w:rPr>
          <w:lang w:val="de-DE"/>
        </w:rPr>
      </w:pPr>
    </w:p>
    <w:p w:rsidR="00CB3140" w:rsidRPr="00430517" w:rsidRDefault="00CB3140" w:rsidP="00CB3140">
      <w:pPr>
        <w:pStyle w:val="BodyText"/>
        <w:numPr>
          <w:ilvl w:val="0"/>
          <w:numId w:val="14"/>
        </w:numPr>
        <w:tabs>
          <w:tab w:val="clear" w:pos="360"/>
          <w:tab w:val="num" w:pos="709"/>
        </w:tabs>
        <w:ind w:left="709" w:hanging="283"/>
        <w:rPr>
          <w:lang w:val="de-DE"/>
        </w:rPr>
      </w:pPr>
      <w:r w:rsidRPr="00D34C39">
        <w:rPr>
          <w:lang w:val="de-DE"/>
        </w:rPr>
        <w:t xml:space="preserve">Der Gesellschaft droht ein Rechtsstreit, in dem </w:t>
      </w:r>
      <w:r w:rsidRPr="003B20D0">
        <w:rPr>
          <w:lang w:val="de-DE"/>
        </w:rPr>
        <w:t>eine</w:t>
      </w:r>
      <w:r w:rsidRPr="00D34C39">
        <w:rPr>
          <w:lang w:val="de-DE"/>
        </w:rPr>
        <w:t xml:space="preserve"> Konkurrenzgesellschaft </w:t>
      </w:r>
      <w:r w:rsidRPr="003B20D0">
        <w:rPr>
          <w:lang w:val="de-DE"/>
        </w:rPr>
        <w:t>sie wegen einer</w:t>
      </w:r>
      <w:r w:rsidRPr="00D34C39">
        <w:rPr>
          <w:lang w:val="de-DE"/>
        </w:rPr>
        <w:t xml:space="preserve"> Patentverletzung verklagen will.</w:t>
      </w:r>
      <w:r w:rsidRPr="00430517">
        <w:rPr>
          <w:lang w:val="de-DE"/>
        </w:rPr>
        <w:t xml:space="preserve"> Die vorläufig verlangte Kompensation beträgt </w:t>
      </w:r>
      <w:r>
        <w:rPr>
          <w:lang w:val="de-DE"/>
        </w:rPr>
        <w:t>TEUR</w:t>
      </w:r>
      <w:r w:rsidRPr="00430517">
        <w:rPr>
          <w:lang w:val="de-DE"/>
        </w:rPr>
        <w:t xml:space="preserve"> </w:t>
      </w:r>
      <w:r>
        <w:rPr>
          <w:lang w:val="de-DE"/>
        </w:rPr>
        <w:t>70</w:t>
      </w:r>
      <w:r w:rsidRPr="00430517">
        <w:rPr>
          <w:lang w:val="de-DE"/>
        </w:rPr>
        <w:t xml:space="preserve">0 bis </w:t>
      </w:r>
      <w:r>
        <w:rPr>
          <w:lang w:val="de-DE"/>
        </w:rPr>
        <w:t>90</w:t>
      </w:r>
      <w:r w:rsidRPr="00430517">
        <w:rPr>
          <w:lang w:val="de-DE"/>
        </w:rPr>
        <w:t xml:space="preserve">0. Die Gesellschaft ist überzeugt, dass es zu keiner Patentverletzung gekommen ist und dass der drohende Rechtsstreit zu ihrem Gunsten entschieden wird. Die Aufwendungen für den drohenden Rechtsstreit werden auf ca. </w:t>
      </w:r>
      <w:r>
        <w:rPr>
          <w:lang w:val="de-DE"/>
        </w:rPr>
        <w:t>EUR</w:t>
      </w:r>
      <w:r w:rsidRPr="00430517">
        <w:rPr>
          <w:lang w:val="de-DE"/>
        </w:rPr>
        <w:t xml:space="preserve"> </w:t>
      </w:r>
      <w:r>
        <w:rPr>
          <w:lang w:val="de-DE"/>
        </w:rPr>
        <w:t>13 000</w:t>
      </w:r>
      <w:r w:rsidRPr="00430517">
        <w:rPr>
          <w:lang w:val="de-DE"/>
        </w:rPr>
        <w:t xml:space="preserve"> geschätzt. </w:t>
      </w:r>
    </w:p>
    <w:p w:rsidR="00CB3140" w:rsidRDefault="00CB3140" w:rsidP="00CB3140">
      <w:pPr>
        <w:pStyle w:val="BodyText"/>
        <w:rPr>
          <w:lang w:val="de-DE"/>
        </w:rPr>
      </w:pPr>
    </w:p>
    <w:p w:rsidR="00CB3140" w:rsidRDefault="00CB3140" w:rsidP="00CB3140">
      <w:pPr>
        <w:pStyle w:val="BodyText"/>
        <w:numPr>
          <w:ilvl w:val="0"/>
          <w:numId w:val="14"/>
        </w:numPr>
        <w:tabs>
          <w:tab w:val="clear" w:pos="360"/>
          <w:tab w:val="num" w:pos="709"/>
        </w:tabs>
        <w:ind w:left="709" w:hanging="283"/>
        <w:rPr>
          <w:lang w:val="de-DE"/>
        </w:rPr>
      </w:pPr>
      <w:r w:rsidRPr="00430517">
        <w:rPr>
          <w:lang w:val="de-DE"/>
        </w:rPr>
        <w:t>Der Gesellschaft droht eine Klage von den staatlichen Umwelt- und Naturschutzbehörden für die Verunreinigung</w:t>
      </w:r>
      <w:r>
        <w:rPr>
          <w:lang w:val="de-DE"/>
        </w:rPr>
        <w:t xml:space="preserve"> des Grundwassers, in der die </w:t>
      </w:r>
      <w:r w:rsidRPr="00430517">
        <w:rPr>
          <w:lang w:val="de-DE"/>
        </w:rPr>
        <w:t>Staatsbehörde eine Beseitigung der Verunreinigung des Grundwasser und eine Geldstrafe verlang</w:t>
      </w:r>
      <w:r>
        <w:rPr>
          <w:lang w:val="de-DE"/>
        </w:rPr>
        <w:t>t</w:t>
      </w:r>
      <w:r w:rsidRPr="00430517">
        <w:rPr>
          <w:lang w:val="de-DE"/>
        </w:rPr>
        <w:t xml:space="preserve">. Die Gesellschaft ist überzeugt, dass es zu keiner Verunreinigung des Grundwassers gekommen ist und </w:t>
      </w:r>
      <w:r w:rsidRPr="00D34C39">
        <w:rPr>
          <w:lang w:val="de-DE"/>
        </w:rPr>
        <w:t>somit</w:t>
      </w:r>
      <w:r w:rsidRPr="00430517">
        <w:rPr>
          <w:lang w:val="de-DE"/>
        </w:rPr>
        <w:t xml:space="preserve"> der drohende Rechtsstreit zu ihrem Gunsten entschieden wird. Die Höhe der Aufwendungen für die eventuelle Beseitigung der Verunreinigung des Grundwassers ist nicht bekannt; die Geldstrafe kann höchstens </w:t>
      </w:r>
      <w:r>
        <w:rPr>
          <w:lang w:val="de-DE"/>
        </w:rPr>
        <w:t>EUR</w:t>
      </w:r>
      <w:r w:rsidRPr="00430517">
        <w:rPr>
          <w:lang w:val="de-DE"/>
        </w:rPr>
        <w:t xml:space="preserve"> </w:t>
      </w:r>
      <w:r>
        <w:rPr>
          <w:lang w:val="de-DE"/>
        </w:rPr>
        <w:t xml:space="preserve">60 </w:t>
      </w:r>
      <w:r w:rsidRPr="00430517">
        <w:rPr>
          <w:lang w:val="de-DE"/>
        </w:rPr>
        <w:t xml:space="preserve">000 betragen. Die Aufwendungen für den drohenden Rechtsstreit werden auf ca. </w:t>
      </w:r>
      <w:r>
        <w:rPr>
          <w:lang w:val="de-DE"/>
        </w:rPr>
        <w:t>EUR</w:t>
      </w:r>
      <w:r w:rsidRPr="00430517">
        <w:rPr>
          <w:lang w:val="de-DE"/>
        </w:rPr>
        <w:t xml:space="preserve"> </w:t>
      </w:r>
      <w:r>
        <w:rPr>
          <w:lang w:val="de-DE"/>
        </w:rPr>
        <w:t>10 0</w:t>
      </w:r>
      <w:r w:rsidRPr="00430517">
        <w:rPr>
          <w:lang w:val="de-DE"/>
        </w:rPr>
        <w:t>00 geschätzt.</w:t>
      </w:r>
    </w:p>
    <w:p w:rsidR="00CB3140" w:rsidRPr="00430517" w:rsidRDefault="00CB3140" w:rsidP="00CB3140">
      <w:pPr>
        <w:pStyle w:val="BodyText"/>
        <w:ind w:left="0"/>
        <w:rPr>
          <w:lang w:val="de-DE"/>
        </w:rPr>
      </w:pPr>
    </w:p>
    <w:p w:rsidR="00CB3140" w:rsidRPr="00430517" w:rsidRDefault="00CB3140" w:rsidP="00CB3140">
      <w:pPr>
        <w:pStyle w:val="BodyText"/>
        <w:numPr>
          <w:ilvl w:val="0"/>
          <w:numId w:val="14"/>
        </w:numPr>
        <w:tabs>
          <w:tab w:val="clear" w:pos="360"/>
          <w:tab w:val="num" w:pos="709"/>
        </w:tabs>
        <w:ind w:left="709" w:hanging="283"/>
        <w:rPr>
          <w:lang w:val="de-DE"/>
        </w:rPr>
      </w:pPr>
      <w:r w:rsidRPr="00430517">
        <w:rPr>
          <w:lang w:val="de-DE"/>
        </w:rPr>
        <w:t>Einige ehemaligen Mitarbeiter wollen die Gesellschaft für die Verletzung der Rechtsvo</w:t>
      </w:r>
      <w:r>
        <w:rPr>
          <w:lang w:val="de-DE"/>
        </w:rPr>
        <w:t xml:space="preserve">rschriften bei der Auflösung </w:t>
      </w:r>
      <w:r w:rsidRPr="003B20D0">
        <w:rPr>
          <w:lang w:val="de-DE"/>
        </w:rPr>
        <w:t>der</w:t>
      </w:r>
      <w:r w:rsidRPr="00430517">
        <w:rPr>
          <w:lang w:val="de-DE"/>
        </w:rPr>
        <w:t xml:space="preserve"> Arbeitsverhältnisse verklagen und verlangen eine Entschädigung i.H.v. ca. </w:t>
      </w:r>
      <w:r>
        <w:rPr>
          <w:lang w:val="de-DE"/>
        </w:rPr>
        <w:t>EUR</w:t>
      </w:r>
      <w:r w:rsidRPr="00430517">
        <w:rPr>
          <w:lang w:val="de-DE"/>
        </w:rPr>
        <w:t xml:space="preserve"> </w:t>
      </w:r>
      <w:r>
        <w:rPr>
          <w:lang w:val="de-DE"/>
        </w:rPr>
        <w:t>150 0</w:t>
      </w:r>
      <w:r w:rsidRPr="00430517">
        <w:rPr>
          <w:lang w:val="de-DE"/>
        </w:rPr>
        <w:t xml:space="preserve">00. Die Gesellschaft ist überzeugt, dass sie die Rechtsvorschriften nicht verletzt hat und </w:t>
      </w:r>
      <w:r w:rsidRPr="00D34C39">
        <w:rPr>
          <w:lang w:val="de-DE"/>
        </w:rPr>
        <w:t>somit</w:t>
      </w:r>
      <w:r w:rsidRPr="00430517">
        <w:rPr>
          <w:lang w:val="de-DE"/>
        </w:rPr>
        <w:t xml:space="preserve"> der drohende Rechtsstreit zu ihrem Gunsten entschieden wird. Die Aufwendungen für den drohenden Rechtsstreit werden auf ca. </w:t>
      </w:r>
      <w:r>
        <w:rPr>
          <w:lang w:val="de-DE"/>
        </w:rPr>
        <w:t>EUR</w:t>
      </w:r>
      <w:r w:rsidRPr="00430517">
        <w:rPr>
          <w:lang w:val="de-DE"/>
        </w:rPr>
        <w:t xml:space="preserve"> </w:t>
      </w:r>
      <w:r>
        <w:rPr>
          <w:lang w:val="de-DE"/>
        </w:rPr>
        <w:t>10 0</w:t>
      </w:r>
      <w:r w:rsidRPr="00430517">
        <w:rPr>
          <w:lang w:val="de-DE"/>
        </w:rPr>
        <w:t xml:space="preserve">00 geschätzt. </w:t>
      </w:r>
    </w:p>
    <w:p w:rsidR="00CB3140" w:rsidRDefault="00CB3140" w:rsidP="00CB3140">
      <w:pPr>
        <w:pStyle w:val="BodyText"/>
        <w:rPr>
          <w:lang w:val="de-DE"/>
        </w:rPr>
      </w:pPr>
    </w:p>
    <w:p w:rsidR="00CB3140" w:rsidRDefault="00CB3140" w:rsidP="00CB3140">
      <w:pPr>
        <w:pStyle w:val="BodyText"/>
        <w:rPr>
          <w:lang w:val="de-DE"/>
        </w:rPr>
      </w:pPr>
      <w:r w:rsidRPr="00430517">
        <w:rPr>
          <w:lang w:val="de-DE"/>
        </w:rPr>
        <w:t>Viele Bereiche des slowakischen Steuerrechtes wurden bisher in der Praxis noch nicht angewendet. Daher besteht nach wie vor eine Ungewissheit über die Interpretation, die die Finanzbehörden in den verschiedenen Gebieten vornehmen werden. Das Ausmaß dieser Ungewissheit lässt sich zur Zeit nicht bestimmen. Dies ist erst dann möglich, wenn entsprechende Präzedenzfälle vorliegen und offizielle Auslegungen zu diesen Fällen von den zuständigen Behörden herausge</w:t>
      </w:r>
      <w:r w:rsidR="00E95EFD">
        <w:rPr>
          <w:lang w:val="de-DE"/>
        </w:rPr>
        <w:t>ge</w:t>
      </w:r>
      <w:r w:rsidRPr="00430517">
        <w:rPr>
          <w:lang w:val="de-DE"/>
        </w:rPr>
        <w:t>ben werden.</w:t>
      </w:r>
    </w:p>
    <w:p w:rsidR="00A671F9" w:rsidRDefault="00A671F9" w:rsidP="00A671F9">
      <w:pPr>
        <w:pStyle w:val="BodyText"/>
      </w:pPr>
      <w:r>
        <w:t xml:space="preserve">Der Geschäftsleitung sind keine Umstände bekannt, infolge deren ihr ein wesentlicher Aufwand anfallen würde. </w:t>
      </w:r>
    </w:p>
    <w:p w:rsidR="00A671F9" w:rsidRPr="00A671F9" w:rsidRDefault="00A671F9" w:rsidP="00CB3140">
      <w:pPr>
        <w:pStyle w:val="BodyText"/>
      </w:pPr>
    </w:p>
    <w:p w:rsidR="00CB3140" w:rsidRPr="00A671F9" w:rsidRDefault="00CB3140" w:rsidP="00CB3140">
      <w:pPr>
        <w:pStyle w:val="BodyText"/>
      </w:pPr>
    </w:p>
    <w:p w:rsidR="00901F83" w:rsidRDefault="00901F83" w:rsidP="00901F83">
      <w:pPr>
        <w:pStyle w:val="BodyText"/>
      </w:pPr>
    </w:p>
    <w:p w:rsidR="00A671F9" w:rsidRPr="0072269B" w:rsidRDefault="00A671F9" w:rsidP="00901F83">
      <w:pPr>
        <w:pStyle w:val="BodyText"/>
        <w:rPr>
          <w:lang w:val="de-DE"/>
        </w:rPr>
      </w:pPr>
    </w:p>
    <w:p w:rsidR="00901F83" w:rsidRDefault="00901F83" w:rsidP="00901F83">
      <w:pPr>
        <w:pStyle w:val="BodyText"/>
      </w:pPr>
    </w:p>
    <w:p w:rsidR="00901F83" w:rsidRDefault="00901F83" w:rsidP="00901F83">
      <w:pPr>
        <w:pStyle w:val="BodyText"/>
      </w:pPr>
    </w:p>
    <w:p w:rsidR="001814FE" w:rsidRPr="00C255EC" w:rsidRDefault="001814FE" w:rsidP="00901F83">
      <w:pPr>
        <w:pStyle w:val="BodyText"/>
        <w:rPr>
          <w:lang w:val="de-DE"/>
        </w:rPr>
      </w:pPr>
    </w:p>
    <w:p w:rsidR="00CB3140" w:rsidRPr="00B00900" w:rsidRDefault="00CB3140" w:rsidP="00CB3140">
      <w:pPr>
        <w:pStyle w:val="BodyText"/>
        <w:rPr>
          <w:lang w:val="de-DE"/>
        </w:rPr>
      </w:pPr>
    </w:p>
    <w:p w:rsidR="00CB3140" w:rsidRPr="000A741B" w:rsidRDefault="00A671F9" w:rsidP="00CB3140">
      <w:pPr>
        <w:pStyle w:val="Heading2"/>
        <w:rPr>
          <w:lang w:val="de-AT"/>
        </w:rPr>
      </w:pPr>
      <w:r w:rsidRPr="000A741B">
        <w:rPr>
          <w:lang w:val="de-AT"/>
        </w:rPr>
        <w:lastRenderedPageBreak/>
        <w:t>Eventual</w:t>
      </w:r>
      <w:r>
        <w:rPr>
          <w:lang w:val="de-AT"/>
        </w:rPr>
        <w:t>vermögen</w:t>
      </w:r>
    </w:p>
    <w:p w:rsidR="00F01166" w:rsidRDefault="00F01166">
      <w:pPr>
        <w:pStyle w:val="BodyText"/>
        <w:ind w:left="709"/>
        <w:rPr>
          <w:lang w:val="de-DE"/>
        </w:rPr>
      </w:pPr>
    </w:p>
    <w:p w:rsidR="00F01166" w:rsidRDefault="00CB3140">
      <w:pPr>
        <w:pStyle w:val="BodyText"/>
        <w:rPr>
          <w:lang w:val="de-DE"/>
        </w:rPr>
      </w:pPr>
      <w:r>
        <w:rPr>
          <w:lang w:val="de-DE"/>
        </w:rPr>
        <w:t xml:space="preserve">Im Jahr </w:t>
      </w:r>
      <w:r w:rsidR="00A671F9">
        <w:rPr>
          <w:lang w:val="de-DE"/>
        </w:rPr>
        <w:t>201</w:t>
      </w:r>
      <w:r w:rsidR="00696182">
        <w:rPr>
          <w:lang w:val="de-DE"/>
        </w:rPr>
        <w:t>3</w:t>
      </w:r>
      <w:r w:rsidR="00A671F9" w:rsidRPr="006171E2">
        <w:rPr>
          <w:lang w:val="de-DE"/>
        </w:rPr>
        <w:t xml:space="preserve"> </w:t>
      </w:r>
      <w:r w:rsidRPr="006171E2">
        <w:rPr>
          <w:lang w:val="de-DE"/>
        </w:rPr>
        <w:t xml:space="preserve">reichte </w:t>
      </w:r>
      <w:r>
        <w:rPr>
          <w:lang w:val="de-DE"/>
        </w:rPr>
        <w:t>die Gesellschaft</w:t>
      </w:r>
      <w:r w:rsidRPr="006171E2">
        <w:rPr>
          <w:lang w:val="de-DE"/>
        </w:rPr>
        <w:t xml:space="preserve"> Klage gegen </w:t>
      </w:r>
      <w:r w:rsidR="00C57DDF">
        <w:rPr>
          <w:lang w:val="de-DE"/>
        </w:rPr>
        <w:t>die</w:t>
      </w:r>
      <w:r w:rsidRPr="006171E2">
        <w:rPr>
          <w:lang w:val="de-DE"/>
        </w:rPr>
        <w:t xml:space="preserve"> </w:t>
      </w:r>
      <w:r w:rsidRPr="00D34C39">
        <w:rPr>
          <w:lang w:val="de-DE"/>
        </w:rPr>
        <w:t>Gesellschaft Elektro</w:t>
      </w:r>
      <w:r w:rsidR="00C57DDF">
        <w:rPr>
          <w:lang w:val="de-DE"/>
        </w:rPr>
        <w:t xml:space="preserve"> ein</w:t>
      </w:r>
      <w:r w:rsidRPr="00D34C39">
        <w:rPr>
          <w:lang w:val="de-DE"/>
        </w:rPr>
        <w:t xml:space="preserve">, </w:t>
      </w:r>
      <w:r>
        <w:rPr>
          <w:lang w:val="de-DE"/>
        </w:rPr>
        <w:t>wegen unberechtigter Nutzung</w:t>
      </w:r>
      <w:r w:rsidRPr="006171E2">
        <w:rPr>
          <w:lang w:val="de-DE"/>
        </w:rPr>
        <w:t xml:space="preserve"> der Schutzmarke Nr. AXY</w:t>
      </w:r>
      <w:r>
        <w:rPr>
          <w:lang w:val="de-DE"/>
        </w:rPr>
        <w:t xml:space="preserve"> </w:t>
      </w:r>
      <w:r w:rsidRPr="006171E2">
        <w:rPr>
          <w:lang w:val="de-DE"/>
        </w:rPr>
        <w:t>121 ein. Inhalt der Verhandlung ist das Verbot der Verwendung der Schutzmarke. Gleichzeitig verlang</w:t>
      </w:r>
      <w:r>
        <w:rPr>
          <w:lang w:val="de-DE"/>
        </w:rPr>
        <w:t>t</w:t>
      </w:r>
      <w:r w:rsidRPr="006171E2">
        <w:rPr>
          <w:lang w:val="de-DE"/>
        </w:rPr>
        <w:t xml:space="preserve"> sie die Erstattung der entgangen</w:t>
      </w:r>
      <w:r>
        <w:rPr>
          <w:lang w:val="de-DE"/>
        </w:rPr>
        <w:t xml:space="preserve">en </w:t>
      </w:r>
      <w:r w:rsidR="0091416D">
        <w:rPr>
          <w:lang w:val="de-DE"/>
        </w:rPr>
        <w:t xml:space="preserve">Gewinne  </w:t>
      </w:r>
      <w:r>
        <w:rPr>
          <w:lang w:val="de-DE"/>
        </w:rPr>
        <w:t xml:space="preserve">i.H.v. EUR 160 000. </w:t>
      </w:r>
    </w:p>
    <w:p w:rsidR="00CB3140" w:rsidRPr="00C15AAD" w:rsidRDefault="00CB3140" w:rsidP="00CB3140">
      <w:pPr>
        <w:ind w:left="360"/>
        <w:rPr>
          <w:sz w:val="18"/>
          <w:szCs w:val="18"/>
          <w:lang w:val="de-AT"/>
        </w:rPr>
      </w:pPr>
    </w:p>
    <w:p w:rsidR="00A671F9" w:rsidRDefault="00A671F9" w:rsidP="00A671F9">
      <w:pPr>
        <w:pStyle w:val="BodyText"/>
      </w:pPr>
      <w:r>
        <w:t>Der Gesellschaft wurde am Ende der Buchungsperiode 201</w:t>
      </w:r>
      <w:r w:rsidR="00696182">
        <w:t>3</w:t>
      </w:r>
      <w:r>
        <w:t xml:space="preserve"> die Fräsmaschine XC-20 im Wert von EUR 43 180 entwendet, die gegen Schaden durch Diebstahl versichert wurde. Die Höhe der Entschädigung vom Versicherungsunternehmen war bis zum Bilanzstichtag nicht bekannt</w:t>
      </w:r>
      <w:r w:rsidR="0091416D">
        <w:t xml:space="preserve"> und es besteht Zweifel, ob das Versicherungsunternehmen </w:t>
      </w:r>
      <w:r w:rsidR="0091416D" w:rsidRPr="00687C63">
        <w:rPr>
          <w:lang w:val="de-DE"/>
        </w:rPr>
        <w:t>ü</w:t>
      </w:r>
      <w:r w:rsidR="0091416D">
        <w:rPr>
          <w:lang w:val="de-DE"/>
        </w:rPr>
        <w:t>berhaupt eine Entschädigung zahlen wird</w:t>
      </w:r>
      <w:r>
        <w:t xml:space="preserve">. Die Gesellschaft schätzt, dass die Höhe der Entschädigung ca. EUR 32 400 betragen </w:t>
      </w:r>
      <w:r w:rsidR="00E95EFD">
        <w:t xml:space="preserve">wird. </w:t>
      </w:r>
    </w:p>
    <w:p w:rsidR="003E211A" w:rsidRDefault="003E211A" w:rsidP="00901F83">
      <w:pPr>
        <w:pStyle w:val="BodyText"/>
        <w:rPr>
          <w:lang w:val="de-DE"/>
        </w:rPr>
      </w:pPr>
    </w:p>
    <w:p w:rsidR="004A1358" w:rsidRDefault="004A1358">
      <w:pPr>
        <w:spacing w:after="200" w:line="276" w:lineRule="auto"/>
        <w:rPr>
          <w:b/>
          <w:caps/>
          <w:sz w:val="18"/>
          <w:lang w:val="de-DE"/>
        </w:rPr>
      </w:pPr>
      <w:bookmarkStart w:id="73" w:name="_Toc530739923"/>
    </w:p>
    <w:p w:rsidR="00CB3140" w:rsidRPr="00C255EC" w:rsidRDefault="00CB3140" w:rsidP="00CB3140">
      <w:pPr>
        <w:pStyle w:val="Heading1"/>
        <w:rPr>
          <w:lang w:val="de-DE"/>
        </w:rPr>
      </w:pPr>
      <w:r w:rsidRPr="00C255EC">
        <w:rPr>
          <w:lang w:val="de-DE"/>
        </w:rPr>
        <w:t xml:space="preserve">InformATIONEN ÜBER EINKÜNFTE UND </w:t>
      </w:r>
      <w:r w:rsidR="00A671F9">
        <w:rPr>
          <w:lang w:val="de-DE"/>
        </w:rPr>
        <w:t xml:space="preserve">VORTEILE </w:t>
      </w:r>
      <w:r w:rsidRPr="00C255EC">
        <w:rPr>
          <w:lang w:val="de-DE"/>
        </w:rPr>
        <w:t xml:space="preserve">DER MITGLIEDER DER STATUTAR-, AUFSICHTSORGANE UND ANDERER ORGANE DER BUCHFÜHRUNGSEINHEIT </w:t>
      </w:r>
      <w:bookmarkEnd w:id="73"/>
    </w:p>
    <w:p w:rsidR="00CB3140" w:rsidRPr="00C255EC" w:rsidRDefault="00CB3140" w:rsidP="00CB3140">
      <w:pPr>
        <w:pStyle w:val="BodyText"/>
        <w:rPr>
          <w:lang w:val="de-DE"/>
        </w:rPr>
      </w:pPr>
    </w:p>
    <w:p w:rsidR="001622AB" w:rsidRPr="00542886" w:rsidRDefault="00027877" w:rsidP="00CB3140">
      <w:pPr>
        <w:pStyle w:val="BodyText"/>
        <w:rPr>
          <w:i/>
          <w:lang w:val="de-DE"/>
        </w:rPr>
      </w:pPr>
      <w:r w:rsidRPr="00542886">
        <w:rPr>
          <w:i/>
          <w:lang w:val="de-DE"/>
        </w:rPr>
        <w:t>(</w:t>
      </w:r>
      <w:r w:rsidRPr="00542886">
        <w:rPr>
          <w:i/>
        </w:rPr>
        <w:t xml:space="preserve">Nähere Informationen werden im Teil 14 </w:t>
      </w:r>
      <w:r w:rsidR="007D2D09" w:rsidRPr="00542886">
        <w:rPr>
          <w:i/>
        </w:rPr>
        <w:t xml:space="preserve">der </w:t>
      </w:r>
      <w:r w:rsidRPr="00542886">
        <w:rPr>
          <w:i/>
        </w:rPr>
        <w:t>Einleitenden Bemerkungen beschrieben)</w:t>
      </w:r>
      <w:r w:rsidRPr="00542886">
        <w:rPr>
          <w:i/>
          <w:lang w:val="de-DE"/>
        </w:rPr>
        <w:t xml:space="preserve">. </w:t>
      </w:r>
    </w:p>
    <w:p w:rsidR="001622AB" w:rsidRPr="00542886" w:rsidRDefault="001622AB" w:rsidP="00CB3140">
      <w:pPr>
        <w:pStyle w:val="BodyText"/>
        <w:rPr>
          <w:lang w:val="de-DE"/>
        </w:rPr>
      </w:pPr>
    </w:p>
    <w:p w:rsidR="00CB3140" w:rsidRPr="00542886" w:rsidRDefault="00CB3140" w:rsidP="00CB3140">
      <w:pPr>
        <w:pStyle w:val="BodyText"/>
        <w:rPr>
          <w:lang w:val="de-DE"/>
        </w:rPr>
      </w:pPr>
      <w:r w:rsidRPr="00542886">
        <w:rPr>
          <w:lang w:val="de-DE"/>
        </w:rPr>
        <w:t xml:space="preserve">Die Brutto-Einkünfte der Statutarorgane der Gesellschaft für ihre Tätigkeit für die Gesellschaft im laufenden Geschäftsjahr betrugen EUR 61 000 (im Jahr </w:t>
      </w:r>
      <w:r w:rsidR="00A671F9" w:rsidRPr="00542886">
        <w:rPr>
          <w:lang w:val="de-DE"/>
        </w:rPr>
        <w:t>201</w:t>
      </w:r>
      <w:r w:rsidR="00696182" w:rsidRPr="00542886">
        <w:rPr>
          <w:lang w:val="de-DE"/>
        </w:rPr>
        <w:t>2</w:t>
      </w:r>
      <w:r w:rsidRPr="00542886">
        <w:rPr>
          <w:lang w:val="de-DE"/>
        </w:rPr>
        <w:t xml:space="preserve">: EUR 49 500). Die Brutto-Einkünfte der Aufsichtsorgane der Gesellschaft betrugen EUR 20 000 (im Jahr </w:t>
      </w:r>
      <w:r w:rsidR="00A671F9" w:rsidRPr="00542886">
        <w:rPr>
          <w:lang w:val="de-DE"/>
        </w:rPr>
        <w:t>201</w:t>
      </w:r>
      <w:r w:rsidR="00696182" w:rsidRPr="00542886">
        <w:rPr>
          <w:lang w:val="de-DE"/>
        </w:rPr>
        <w:t>2</w:t>
      </w:r>
      <w:r w:rsidRPr="00542886">
        <w:rPr>
          <w:lang w:val="de-DE"/>
        </w:rPr>
        <w:t>: EUR 20 000).</w:t>
      </w:r>
    </w:p>
    <w:p w:rsidR="00CB3140" w:rsidRPr="00542886" w:rsidRDefault="00CB3140" w:rsidP="00CB3140">
      <w:pPr>
        <w:pStyle w:val="BodyText"/>
        <w:rPr>
          <w:lang w:val="de-DE"/>
        </w:rPr>
      </w:pPr>
    </w:p>
    <w:p w:rsidR="002425FD" w:rsidRPr="00AC0D5A" w:rsidRDefault="00027877" w:rsidP="00CB3140">
      <w:pPr>
        <w:pStyle w:val="BodyText"/>
        <w:rPr>
          <w:lang w:val="de-DE"/>
        </w:rPr>
      </w:pPr>
      <w:r w:rsidRPr="00542886">
        <w:rPr>
          <w:lang w:val="de-DE"/>
        </w:rPr>
        <w:t xml:space="preserve">Im Jahr 2013 wurden den Mitgliedern der Statutar- und Aufsichtsorgane keine Darlehen, Garantien oder andere </w:t>
      </w:r>
      <w:r w:rsidR="00CA395C" w:rsidRPr="00542886">
        <w:rPr>
          <w:lang w:val="de-DE"/>
        </w:rPr>
        <w:t>Arten von Sicherungen gew</w:t>
      </w:r>
      <w:r w:rsidR="00CA395C" w:rsidRPr="00542886">
        <w:t xml:space="preserve">ährt, sowie keine Finanzmittel </w:t>
      </w:r>
      <w:r w:rsidRPr="00542886">
        <w:rPr>
          <w:lang w:val="de-DE"/>
        </w:rPr>
        <w:t xml:space="preserve"> oder andere Finanzausgleiche für persönliche Zwecke, welche </w:t>
      </w:r>
      <w:r w:rsidR="00CA395C" w:rsidRPr="00542886">
        <w:rPr>
          <w:lang w:val="de-DE"/>
        </w:rPr>
        <w:t>ver</w:t>
      </w:r>
      <w:r w:rsidRPr="00542886">
        <w:rPr>
          <w:lang w:val="de-DE"/>
        </w:rPr>
        <w:t>rechnet werden (2012: keine).</w:t>
      </w:r>
    </w:p>
    <w:p w:rsidR="002425FD" w:rsidRDefault="002425FD" w:rsidP="00CB3140">
      <w:pPr>
        <w:pStyle w:val="BodyText"/>
        <w:rPr>
          <w:lang w:val="de-DE"/>
        </w:rPr>
      </w:pPr>
    </w:p>
    <w:p w:rsidR="00A671F9" w:rsidRPr="0072269B" w:rsidRDefault="000B1E1B" w:rsidP="00901F83">
      <w:pPr>
        <w:pStyle w:val="BodyText"/>
        <w:rPr>
          <w:lang w:val="de-DE"/>
        </w:rPr>
      </w:pPr>
      <w:r w:rsidRPr="00CA1B1A" w:rsidDel="000B1E1B">
        <w:rPr>
          <w:lang w:val="de-DE"/>
        </w:rPr>
        <w:t xml:space="preserve"> </w:t>
      </w:r>
    </w:p>
    <w:p w:rsidR="00901F83" w:rsidRDefault="00901F83" w:rsidP="00901F83">
      <w:pPr>
        <w:pStyle w:val="BodyText"/>
      </w:pPr>
    </w:p>
    <w:p w:rsidR="00CB3140" w:rsidRDefault="00CB3140" w:rsidP="00901F83">
      <w:pPr>
        <w:pStyle w:val="BodyText"/>
        <w:rPr>
          <w:lang w:val="de-DE"/>
        </w:rPr>
      </w:pPr>
    </w:p>
    <w:p w:rsidR="0072269B" w:rsidRDefault="0072269B">
      <w:pPr>
        <w:spacing w:after="200" w:line="276" w:lineRule="auto"/>
        <w:rPr>
          <w:b/>
          <w:caps/>
          <w:sz w:val="18"/>
          <w:lang w:val="de-DE"/>
        </w:rPr>
      </w:pPr>
      <w:bookmarkStart w:id="74" w:name="_Toc530739924"/>
      <w:r>
        <w:rPr>
          <w:lang w:val="de-DE"/>
        </w:rPr>
        <w:br w:type="page"/>
      </w:r>
    </w:p>
    <w:p w:rsidR="00CB3140" w:rsidRPr="00C255EC" w:rsidRDefault="00CB3140" w:rsidP="00CB3140">
      <w:pPr>
        <w:pStyle w:val="Heading1"/>
        <w:rPr>
          <w:lang w:val="de-DE"/>
        </w:rPr>
      </w:pPr>
      <w:r w:rsidRPr="00C255EC">
        <w:rPr>
          <w:lang w:val="de-DE"/>
        </w:rPr>
        <w:lastRenderedPageBreak/>
        <w:t xml:space="preserve">InformATIONEN ÜBER DIE </w:t>
      </w:r>
      <w:r w:rsidR="00EA4A4A" w:rsidRPr="00C255EC">
        <w:rPr>
          <w:lang w:val="de-DE"/>
        </w:rPr>
        <w:t>WIRTSCHAFT</w:t>
      </w:r>
      <w:r w:rsidR="00EA4A4A">
        <w:rPr>
          <w:lang w:val="de-DE"/>
        </w:rPr>
        <w:t>LICHEN BEZIEHUNGEN</w:t>
      </w:r>
      <w:r w:rsidR="00EA4A4A" w:rsidRPr="00C255EC">
        <w:rPr>
          <w:lang w:val="de-DE"/>
        </w:rPr>
        <w:t xml:space="preserve"> </w:t>
      </w:r>
      <w:r w:rsidRPr="00C255EC">
        <w:rPr>
          <w:lang w:val="de-DE"/>
        </w:rPr>
        <w:t xml:space="preserve">DER BUCHFÜHRUNGSEINHEIT UND DER NAHESTEHENDEN PERSONEN </w:t>
      </w:r>
      <w:bookmarkEnd w:id="74"/>
    </w:p>
    <w:p w:rsidR="00CB3140" w:rsidRPr="00774405" w:rsidRDefault="00CB3140" w:rsidP="00CB3140">
      <w:pPr>
        <w:pStyle w:val="BodyText"/>
        <w:rPr>
          <w:lang w:val="de-DE"/>
        </w:rPr>
      </w:pPr>
    </w:p>
    <w:p w:rsidR="00A435A5" w:rsidRPr="00EB0D3C" w:rsidRDefault="00027877" w:rsidP="00CB3140">
      <w:pPr>
        <w:pStyle w:val="BodyText"/>
        <w:rPr>
          <w:bCs/>
          <w:i/>
          <w:u w:val="single"/>
          <w:lang w:val="de-DE"/>
        </w:rPr>
      </w:pPr>
      <w:r w:rsidRPr="00EB0D3C">
        <w:rPr>
          <w:bCs/>
          <w:i/>
          <w:u w:val="single"/>
          <w:lang w:val="de-DE"/>
        </w:rPr>
        <w:t xml:space="preserve">(Nur die Liste der </w:t>
      </w:r>
      <w:r w:rsidRPr="00EB0D3C">
        <w:rPr>
          <w:i/>
          <w:u w:val="single"/>
          <w:lang w:val="de-DE"/>
        </w:rPr>
        <w:t>Geschäften mit nahestehende</w:t>
      </w:r>
      <w:r w:rsidR="009B2B9E" w:rsidRPr="00EB0D3C">
        <w:rPr>
          <w:i/>
          <w:u w:val="single"/>
          <w:lang w:val="de-DE"/>
        </w:rPr>
        <w:t>n Unternehmen und Personen, die</w:t>
      </w:r>
      <w:r w:rsidR="00073115" w:rsidRPr="00EB0D3C">
        <w:rPr>
          <w:i/>
          <w:u w:val="single"/>
          <w:lang w:val="de-DE"/>
        </w:rPr>
        <w:t xml:space="preserve"> </w:t>
      </w:r>
      <w:r w:rsidRPr="00EB0D3C">
        <w:rPr>
          <w:i/>
          <w:u w:val="single"/>
          <w:lang w:val="de-DE"/>
        </w:rPr>
        <w:t>unter marktunüblichen Bedingungen zustande gekom</w:t>
      </w:r>
      <w:r w:rsidR="001F6898" w:rsidRPr="00EB0D3C">
        <w:rPr>
          <w:i/>
          <w:u w:val="single"/>
          <w:lang w:val="de-DE"/>
        </w:rPr>
        <w:t>m</w:t>
      </w:r>
      <w:r w:rsidRPr="00EB0D3C">
        <w:rPr>
          <w:i/>
          <w:u w:val="single"/>
          <w:lang w:val="de-DE"/>
        </w:rPr>
        <w:t>en sind, wird eingef</w:t>
      </w:r>
      <w:r w:rsidRPr="00EB0D3C">
        <w:rPr>
          <w:i/>
          <w:szCs w:val="18"/>
          <w:u w:val="single"/>
        </w:rPr>
        <w:t>ührt.</w:t>
      </w:r>
      <w:r w:rsidR="00073115" w:rsidRPr="00EB0D3C">
        <w:rPr>
          <w:i/>
          <w:szCs w:val="18"/>
          <w:u w:val="single"/>
        </w:rPr>
        <w:t xml:space="preserve"> </w:t>
      </w:r>
      <w:r w:rsidRPr="00EB0D3C">
        <w:rPr>
          <w:i/>
          <w:u w:val="single"/>
        </w:rPr>
        <w:t>Nähere Informationen werden im Teil 14 der Einleitenden Bemerkungen beschriebe</w:t>
      </w:r>
      <w:r w:rsidR="00AC77EA" w:rsidRPr="00EB0D3C">
        <w:rPr>
          <w:i/>
          <w:u w:val="single"/>
        </w:rPr>
        <w:t>n. D</w:t>
      </w:r>
      <w:r w:rsidRPr="00EB0D3C">
        <w:rPr>
          <w:i/>
          <w:szCs w:val="18"/>
          <w:u w:val="single"/>
        </w:rPr>
        <w:t>iese Information ist zu löschen</w:t>
      </w:r>
      <w:r w:rsidR="009B2B9E" w:rsidRPr="00EB0D3C">
        <w:rPr>
          <w:i/>
          <w:szCs w:val="18"/>
          <w:u w:val="single"/>
        </w:rPr>
        <w:t>.</w:t>
      </w:r>
      <w:r w:rsidRPr="00EB0D3C">
        <w:rPr>
          <w:i/>
          <w:u w:val="single"/>
        </w:rPr>
        <w:t>)</w:t>
      </w:r>
    </w:p>
    <w:p w:rsidR="00A435A5" w:rsidRPr="00EB0D3C" w:rsidRDefault="00A435A5" w:rsidP="00CB3140">
      <w:pPr>
        <w:pStyle w:val="BodyText"/>
        <w:rPr>
          <w:bCs/>
          <w:lang w:val="de-DE"/>
        </w:rPr>
      </w:pPr>
    </w:p>
    <w:p w:rsidR="00D91E63" w:rsidRPr="00EB0D3C" w:rsidRDefault="00027877" w:rsidP="00CB3140">
      <w:pPr>
        <w:pStyle w:val="BodyText"/>
        <w:rPr>
          <w:bCs/>
          <w:lang w:val="de-DE"/>
        </w:rPr>
      </w:pPr>
      <w:r w:rsidRPr="00EB0D3C">
        <w:rPr>
          <w:bCs/>
          <w:lang w:val="de-DE"/>
        </w:rPr>
        <w:t xml:space="preserve">Die Gesellschaft hat </w:t>
      </w:r>
      <w:r w:rsidR="001F6898" w:rsidRPr="00EB0D3C">
        <w:rPr>
          <w:bCs/>
          <w:lang w:val="de-DE"/>
        </w:rPr>
        <w:t>keine</w:t>
      </w:r>
      <w:r w:rsidRPr="00EB0D3C">
        <w:rPr>
          <w:bCs/>
          <w:lang w:val="de-DE"/>
        </w:rPr>
        <w:t xml:space="preserve"> Gesch</w:t>
      </w:r>
      <w:r w:rsidRPr="00EB0D3C">
        <w:rPr>
          <w:bCs/>
        </w:rPr>
        <w:t>äfte</w:t>
      </w:r>
      <w:r w:rsidRPr="00EB0D3C">
        <w:rPr>
          <w:bCs/>
          <w:lang w:val="de-DE"/>
        </w:rPr>
        <w:t xml:space="preserve"> mit nahestehenden Unternehmen und Personen durchgeführt, die </w:t>
      </w:r>
      <w:r w:rsidRPr="00EB0D3C">
        <w:rPr>
          <w:lang w:val="de-DE"/>
        </w:rPr>
        <w:t>unter marktunüblichen Bedingungen zustande gekom</w:t>
      </w:r>
      <w:r w:rsidR="001F6898" w:rsidRPr="00EB0D3C">
        <w:rPr>
          <w:lang w:val="de-DE"/>
        </w:rPr>
        <w:t>m</w:t>
      </w:r>
      <w:r w:rsidRPr="00EB0D3C">
        <w:rPr>
          <w:lang w:val="de-DE"/>
        </w:rPr>
        <w:t>en sind.</w:t>
      </w:r>
    </w:p>
    <w:p w:rsidR="00D91E63" w:rsidRPr="00EB0D3C" w:rsidRDefault="00D91E63" w:rsidP="00CB3140">
      <w:pPr>
        <w:pStyle w:val="BodyText"/>
        <w:rPr>
          <w:bCs/>
          <w:lang w:val="de-DE"/>
        </w:rPr>
      </w:pPr>
    </w:p>
    <w:p w:rsidR="00CB3140" w:rsidRDefault="00027877" w:rsidP="00CB3140">
      <w:pPr>
        <w:pStyle w:val="BodyText"/>
        <w:rPr>
          <w:lang w:val="de-DE"/>
        </w:rPr>
      </w:pPr>
      <w:r w:rsidRPr="00EB0D3C">
        <w:rPr>
          <w:bCs/>
          <w:lang w:val="de-DE"/>
        </w:rPr>
        <w:t xml:space="preserve">Die Gesellschaft hat in der Buchungsperiode folgende </w:t>
      </w:r>
      <w:r w:rsidR="001F6898" w:rsidRPr="00EB0D3C">
        <w:rPr>
          <w:bCs/>
          <w:lang w:val="de-DE"/>
        </w:rPr>
        <w:t>Geschäfte</w:t>
      </w:r>
      <w:r w:rsidRPr="00EB0D3C">
        <w:rPr>
          <w:bCs/>
          <w:lang w:val="de-DE"/>
        </w:rPr>
        <w:t xml:space="preserve"> mit nahestehenden</w:t>
      </w:r>
      <w:r w:rsidR="001F6898" w:rsidRPr="00EB0D3C">
        <w:rPr>
          <w:bCs/>
          <w:lang w:val="de-DE"/>
        </w:rPr>
        <w:t xml:space="preserve"> Unternehmen und</w:t>
      </w:r>
      <w:r w:rsidRPr="00EB0D3C">
        <w:rPr>
          <w:bCs/>
          <w:lang w:val="de-DE"/>
        </w:rPr>
        <w:t xml:space="preserve"> Personen durchgeführt, die nicht unter marktun</w:t>
      </w:r>
      <w:r w:rsidR="009B2B9E" w:rsidRPr="00EB0D3C">
        <w:rPr>
          <w:lang w:val="de-DE"/>
        </w:rPr>
        <w:t>üblichen Bedingu</w:t>
      </w:r>
      <w:r w:rsidRPr="00EB0D3C">
        <w:rPr>
          <w:lang w:val="de-DE"/>
        </w:rPr>
        <w:t>ngen zustande gekommen sind.</w:t>
      </w:r>
      <w:r w:rsidR="00687C63" w:rsidRPr="00687C63">
        <w:rPr>
          <w:lang w:val="de-DE"/>
        </w:rPr>
        <w:t xml:space="preserve"> </w:t>
      </w:r>
    </w:p>
    <w:p w:rsidR="00547ACE" w:rsidRDefault="00447B82" w:rsidP="00547ACE">
      <w:pPr>
        <w:pStyle w:val="BodyText"/>
        <w:rPr>
          <w:i/>
          <w:szCs w:val="18"/>
          <w:u w:val="single"/>
        </w:rPr>
      </w:pPr>
      <w:r>
        <w:rPr>
          <w:i/>
          <w:szCs w:val="18"/>
          <w:u w:val="single"/>
          <w:lang w:val="de-DE"/>
        </w:rPr>
        <w:t>(</w:t>
      </w:r>
      <w:r w:rsidRPr="008C782B">
        <w:rPr>
          <w:i/>
          <w:szCs w:val="18"/>
          <w:u w:val="single"/>
          <w:lang w:val="de-DE"/>
        </w:rPr>
        <w:t>Nicht verpflichtende Angaben</w:t>
      </w:r>
      <w:r w:rsidRPr="008C782B">
        <w:rPr>
          <w:i/>
          <w:sz w:val="20"/>
          <w:u w:val="single"/>
          <w:lang w:val="de-DE"/>
        </w:rPr>
        <w:t>,</w:t>
      </w:r>
      <w:r>
        <w:rPr>
          <w:i/>
          <w:szCs w:val="18"/>
          <w:u w:val="single"/>
        </w:rPr>
        <w:t>diese Information ist zu löschen</w:t>
      </w:r>
      <w:r w:rsidR="00547ACE">
        <w:rPr>
          <w:i/>
          <w:szCs w:val="18"/>
          <w:u w:val="single"/>
        </w:rPr>
        <w:t>.</w:t>
      </w:r>
      <w:r w:rsidR="00252994">
        <w:rPr>
          <w:i/>
          <w:szCs w:val="18"/>
          <w:u w:val="single"/>
        </w:rPr>
        <w:t>)</w:t>
      </w:r>
    </w:p>
    <w:p w:rsidR="00547ACE" w:rsidRPr="00547ACE" w:rsidRDefault="00547ACE" w:rsidP="00CB3140">
      <w:pPr>
        <w:pStyle w:val="BodyText"/>
      </w:pPr>
    </w:p>
    <w:bookmarkStart w:id="75" w:name="_MON_1349250360"/>
    <w:bookmarkStart w:id="76" w:name="_MON_1349263690"/>
    <w:bookmarkEnd w:id="75"/>
    <w:bookmarkEnd w:id="76"/>
    <w:bookmarkStart w:id="77" w:name="_MON_1349263808"/>
    <w:bookmarkEnd w:id="77"/>
    <w:p w:rsidR="00D57187" w:rsidRDefault="00483529" w:rsidP="00CB3140">
      <w:pPr>
        <w:pStyle w:val="BodyText"/>
        <w:rPr>
          <w:lang w:val="de-DE"/>
        </w:rPr>
      </w:pPr>
      <w:r w:rsidRPr="00306151">
        <w:rPr>
          <w:lang w:val="en-GB"/>
        </w:rPr>
        <w:object w:dxaOrig="8630" w:dyaOrig="6170">
          <v:shape id="_x0000_i1070" type="#_x0000_t75" style="width:441pt;height:309pt" o:ole="">
            <v:imagedata r:id="rId119" o:title=""/>
          </v:shape>
          <o:OLEObject Type="Embed" ProgID="Excel.Sheet.8" ShapeID="_x0000_i1070" DrawAspect="Content" ObjectID="_1448991430" r:id="rId120"/>
        </w:object>
      </w:r>
    </w:p>
    <w:p w:rsidR="00134230" w:rsidRPr="00C15AAD" w:rsidRDefault="00134230">
      <w:pPr>
        <w:spacing w:after="200" w:line="276" w:lineRule="auto"/>
        <w:rPr>
          <w:sz w:val="18"/>
          <w:szCs w:val="18"/>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542886" w:rsidRDefault="00542886">
      <w:pPr>
        <w:pStyle w:val="BodyText"/>
        <w:rPr>
          <w:lang w:val="de-DE"/>
        </w:rPr>
      </w:pPr>
    </w:p>
    <w:p w:rsidR="001E4409" w:rsidRDefault="007D6502">
      <w:pPr>
        <w:pStyle w:val="BodyText"/>
        <w:rPr>
          <w:lang w:val="de-DE"/>
        </w:rPr>
      </w:pPr>
      <w:r>
        <w:rPr>
          <w:lang w:val="de-DE"/>
        </w:rPr>
        <w:lastRenderedPageBreak/>
        <w:t>Die folgende Tabelle führt ausgewählte Aktiva und Passiva auf, die sich aus den Transaktionen mit nahestehenden Personen ergeben:</w:t>
      </w:r>
      <w:r w:rsidRPr="0090295D">
        <w:rPr>
          <w:lang w:val="de-DE"/>
        </w:rPr>
        <w:t xml:space="preserve"> </w:t>
      </w:r>
    </w:p>
    <w:p w:rsidR="00C25CB0" w:rsidRPr="00E95B69" w:rsidRDefault="00252994" w:rsidP="007D6502">
      <w:pPr>
        <w:pStyle w:val="BodyText"/>
        <w:rPr>
          <w:u w:val="single"/>
          <w:lang w:val="de-DE"/>
        </w:rPr>
      </w:pPr>
      <w:r>
        <w:rPr>
          <w:i/>
          <w:szCs w:val="18"/>
          <w:u w:val="single"/>
          <w:lang w:val="de-DE"/>
        </w:rPr>
        <w:t>(</w:t>
      </w:r>
      <w:r w:rsidR="008C782B" w:rsidRPr="008C782B">
        <w:rPr>
          <w:i/>
          <w:szCs w:val="18"/>
          <w:u w:val="single"/>
          <w:lang w:val="de-DE"/>
        </w:rPr>
        <w:t>Nicht verpflichtende Angaben</w:t>
      </w:r>
      <w:r w:rsidR="008C782B" w:rsidRPr="008C782B">
        <w:rPr>
          <w:i/>
          <w:sz w:val="20"/>
          <w:u w:val="single"/>
          <w:lang w:val="de-DE"/>
        </w:rPr>
        <w:t>,</w:t>
      </w:r>
      <w:r w:rsidR="00304960">
        <w:rPr>
          <w:i/>
          <w:szCs w:val="18"/>
          <w:u w:val="single"/>
        </w:rPr>
        <w:t>diese Information ist zu löschen</w:t>
      </w:r>
      <w:r>
        <w:rPr>
          <w:i/>
          <w:szCs w:val="18"/>
          <w:u w:val="single"/>
        </w:rPr>
        <w:t>)</w:t>
      </w:r>
      <w:r w:rsidR="008C782B" w:rsidRPr="008C782B">
        <w:rPr>
          <w:u w:val="single"/>
          <w:lang w:val="de-DE"/>
        </w:rPr>
        <w:t>.</w:t>
      </w:r>
    </w:p>
    <w:p w:rsidR="007D6502" w:rsidRPr="0090295D" w:rsidRDefault="007D6502" w:rsidP="007D6502">
      <w:pPr>
        <w:pStyle w:val="BodyText"/>
        <w:rPr>
          <w:lang w:val="de-DE"/>
        </w:rPr>
      </w:pPr>
    </w:p>
    <w:bookmarkStart w:id="78" w:name="_MON_1410172320"/>
    <w:bookmarkEnd w:id="78"/>
    <w:p w:rsidR="007D6502" w:rsidRDefault="00696182" w:rsidP="007D6502">
      <w:pPr>
        <w:pStyle w:val="BodyText"/>
        <w:rPr>
          <w:lang w:val="de-DE"/>
        </w:rPr>
      </w:pPr>
      <w:r>
        <w:object w:dxaOrig="8894" w:dyaOrig="2682">
          <v:shape id="_x0000_i1071" type="#_x0000_t75" style="width:438.75pt;height:148.5pt" o:ole="" o:preferrelative="f">
            <v:imagedata r:id="rId121" o:title=""/>
            <o:lock v:ext="edit" aspectratio="f"/>
          </v:shape>
          <o:OLEObject Type="Embed" ProgID="Excel.Sheet.12" ShapeID="_x0000_i1071" DrawAspect="Content" ObjectID="_1448991431" r:id="rId122"/>
        </w:object>
      </w:r>
    </w:p>
    <w:p w:rsidR="007D6502" w:rsidRDefault="007D6502" w:rsidP="007D6502">
      <w:pPr>
        <w:pStyle w:val="BodyText"/>
        <w:rPr>
          <w:lang w:val="de-DE"/>
        </w:rPr>
      </w:pPr>
    </w:p>
    <w:p w:rsidR="007D6502" w:rsidRPr="0090295D" w:rsidRDefault="007D6502" w:rsidP="007D6502">
      <w:pPr>
        <w:pStyle w:val="BodyText"/>
        <w:rPr>
          <w:lang w:val="de-DE"/>
        </w:rPr>
      </w:pPr>
    </w:p>
    <w:p w:rsidR="007D6502" w:rsidRPr="0090295D" w:rsidRDefault="007D6502" w:rsidP="007D6502">
      <w:pPr>
        <w:pStyle w:val="Heading1"/>
        <w:rPr>
          <w:lang w:val="de-DE"/>
        </w:rPr>
      </w:pPr>
      <w:bookmarkStart w:id="79" w:name="_Toc530739925"/>
      <w:r w:rsidRPr="0090295D">
        <w:rPr>
          <w:lang w:val="de-DE"/>
        </w:rPr>
        <w:t xml:space="preserve">InformATIONEN ÜBER DIE EREIGNISSE, DIE ZWISCHEN DEM BILANZSTICHTAG UND DEM TAG DER ERSTELLUNG DES JAHRESABSCHLUSSES EINGETRETEN SIND </w:t>
      </w:r>
      <w:bookmarkEnd w:id="79"/>
    </w:p>
    <w:p w:rsidR="007D6502" w:rsidRPr="0090295D" w:rsidRDefault="007D6502" w:rsidP="007D6502">
      <w:pPr>
        <w:pStyle w:val="BodyText"/>
        <w:rPr>
          <w:lang w:val="de-DE"/>
        </w:rPr>
      </w:pPr>
    </w:p>
    <w:p w:rsidR="007D6502" w:rsidRDefault="007D6502" w:rsidP="007D6502">
      <w:pPr>
        <w:pStyle w:val="BodyText"/>
        <w:rPr>
          <w:lang w:val="de-DE"/>
        </w:rPr>
      </w:pPr>
      <w:r w:rsidRPr="0090295D">
        <w:rPr>
          <w:lang w:val="de-DE"/>
        </w:rPr>
        <w:t xml:space="preserve">Nach dem 31. Dezember </w:t>
      </w:r>
      <w:r w:rsidR="00DA6BBA">
        <w:rPr>
          <w:lang w:val="de-DE"/>
        </w:rPr>
        <w:t>201</w:t>
      </w:r>
      <w:r w:rsidR="00696182">
        <w:rPr>
          <w:lang w:val="de-DE"/>
        </w:rPr>
        <w:t>3</w:t>
      </w:r>
      <w:r w:rsidR="00DA6BBA" w:rsidRPr="0090295D">
        <w:rPr>
          <w:lang w:val="de-DE"/>
        </w:rPr>
        <w:t xml:space="preserve"> </w:t>
      </w:r>
      <w:r w:rsidRPr="0090295D">
        <w:rPr>
          <w:lang w:val="de-DE"/>
        </w:rPr>
        <w:t xml:space="preserve">traten folgende Ereignisse ein, die eine wesentliche Auswirkung auf die getreue Darstellung [ein den tatsächlichen Verhältnissen entsprechendes Bild] der Tatsachen haben, die Gegenstand der </w:t>
      </w:r>
      <w:r w:rsidR="006B1BC6">
        <w:rPr>
          <w:lang w:val="de-DE"/>
        </w:rPr>
        <w:t>Rechnungsleg</w:t>
      </w:r>
      <w:r w:rsidR="006B1BC6" w:rsidRPr="0090295D">
        <w:rPr>
          <w:lang w:val="de-DE"/>
        </w:rPr>
        <w:t xml:space="preserve">ung </w:t>
      </w:r>
      <w:r w:rsidRPr="0090295D">
        <w:rPr>
          <w:lang w:val="de-DE"/>
        </w:rPr>
        <w:t xml:space="preserve">sind: </w:t>
      </w:r>
    </w:p>
    <w:p w:rsidR="00A81264" w:rsidRPr="0090295D" w:rsidRDefault="00A81264" w:rsidP="007D6502">
      <w:pPr>
        <w:pStyle w:val="BodyText"/>
        <w:rPr>
          <w:lang w:val="de-DE"/>
        </w:rPr>
      </w:pPr>
    </w:p>
    <w:p w:rsidR="007D6502" w:rsidRPr="0090295D" w:rsidRDefault="007D6502" w:rsidP="007D6502">
      <w:pPr>
        <w:pStyle w:val="BodyText"/>
        <w:numPr>
          <w:ilvl w:val="0"/>
          <w:numId w:val="14"/>
        </w:numPr>
        <w:tabs>
          <w:tab w:val="clear" w:pos="360"/>
        </w:tabs>
        <w:ind w:left="709" w:hanging="283"/>
        <w:rPr>
          <w:lang w:val="de-DE"/>
        </w:rPr>
      </w:pPr>
      <w:r>
        <w:rPr>
          <w:lang w:val="de-DE"/>
        </w:rPr>
        <w:t xml:space="preserve">zum 1. Januar </w:t>
      </w:r>
      <w:r w:rsidR="00DA6BBA">
        <w:rPr>
          <w:lang w:val="de-DE"/>
        </w:rPr>
        <w:t>201</w:t>
      </w:r>
      <w:r w:rsidR="00696182">
        <w:rPr>
          <w:lang w:val="de-DE"/>
        </w:rPr>
        <w:t>4</w:t>
      </w:r>
      <w:r w:rsidR="00DA6BBA" w:rsidRPr="0090295D">
        <w:rPr>
          <w:lang w:val="de-DE"/>
        </w:rPr>
        <w:t xml:space="preserve"> </w:t>
      </w:r>
      <w:r w:rsidRPr="0090295D">
        <w:rPr>
          <w:lang w:val="de-DE"/>
        </w:rPr>
        <w:t>hat die Gesellschaft alle ihre Anteile am Gemeinschaftsunternehmen ABC Elektro, s.</w:t>
      </w:r>
      <w:r w:rsidR="00252994">
        <w:rPr>
          <w:lang w:val="de-DE"/>
        </w:rPr>
        <w:t xml:space="preserve"> </w:t>
      </w:r>
      <w:r w:rsidRPr="0090295D">
        <w:rPr>
          <w:lang w:val="de-DE"/>
        </w:rPr>
        <w:t>r.</w:t>
      </w:r>
      <w:r w:rsidR="00252994">
        <w:rPr>
          <w:lang w:val="de-DE"/>
        </w:rPr>
        <w:t xml:space="preserve"> </w:t>
      </w:r>
      <w:r w:rsidRPr="0090295D">
        <w:rPr>
          <w:lang w:val="de-DE"/>
        </w:rPr>
        <w:t>o., Považská Bystrica, verkauft,</w:t>
      </w:r>
    </w:p>
    <w:p w:rsidR="007D6502" w:rsidRDefault="007D6502" w:rsidP="007D6502">
      <w:pPr>
        <w:pStyle w:val="BodyText"/>
        <w:numPr>
          <w:ilvl w:val="0"/>
          <w:numId w:val="14"/>
        </w:numPr>
        <w:tabs>
          <w:tab w:val="clear" w:pos="360"/>
        </w:tabs>
        <w:ind w:left="709" w:hanging="283"/>
        <w:rPr>
          <w:lang w:val="de-DE"/>
        </w:rPr>
      </w:pPr>
      <w:r>
        <w:rPr>
          <w:lang w:val="de-DE"/>
        </w:rPr>
        <w:t xml:space="preserve">zum 1. Februar </w:t>
      </w:r>
      <w:r w:rsidR="00696182">
        <w:rPr>
          <w:lang w:val="de-DE"/>
        </w:rPr>
        <w:t xml:space="preserve">2014 </w:t>
      </w:r>
      <w:r>
        <w:rPr>
          <w:lang w:val="de-DE"/>
        </w:rPr>
        <w:t>hat die Gesellschaft 50</w:t>
      </w:r>
      <w:r w:rsidR="004C5469">
        <w:rPr>
          <w:lang w:val="de-DE"/>
        </w:rPr>
        <w:t xml:space="preserve"> </w:t>
      </w:r>
      <w:r w:rsidRPr="0090295D">
        <w:rPr>
          <w:lang w:val="de-DE"/>
        </w:rPr>
        <w:t>% der Anteile des zweiten Gesellschafters des Gemeinschaftsunternehmens ABC Elektromery, s.</w:t>
      </w:r>
      <w:r w:rsidR="00252994">
        <w:rPr>
          <w:lang w:val="de-DE"/>
        </w:rPr>
        <w:t xml:space="preserve"> </w:t>
      </w:r>
      <w:r w:rsidRPr="0090295D">
        <w:rPr>
          <w:lang w:val="de-DE"/>
        </w:rPr>
        <w:t>r.</w:t>
      </w:r>
      <w:r w:rsidR="00252994">
        <w:rPr>
          <w:lang w:val="de-DE"/>
        </w:rPr>
        <w:t xml:space="preserve"> </w:t>
      </w:r>
      <w:r w:rsidRPr="0090295D">
        <w:rPr>
          <w:lang w:val="de-DE"/>
        </w:rPr>
        <w:t>o., Košice gekauft und danach anschließend das gezeichnete Kapital durch Einlage des Unternehmensteils „Elektrizitätszählerherstellung“ erhöht.</w:t>
      </w:r>
    </w:p>
    <w:p w:rsidR="007D6502" w:rsidRDefault="007D6502" w:rsidP="007D6502">
      <w:pPr>
        <w:pStyle w:val="BodyText"/>
        <w:rPr>
          <w:lang w:val="de-DE"/>
        </w:rPr>
      </w:pPr>
    </w:p>
    <w:p w:rsidR="007D6502" w:rsidRPr="006B679F" w:rsidRDefault="007D6502" w:rsidP="007D6502">
      <w:pPr>
        <w:pStyle w:val="Heading1"/>
        <w:rPr>
          <w:lang w:val="de-DE"/>
        </w:rPr>
      </w:pPr>
      <w:bookmarkStart w:id="80" w:name="_Toc530739907"/>
      <w:r>
        <w:rPr>
          <w:lang w:val="de-DE"/>
        </w:rPr>
        <w:br w:type="page"/>
      </w:r>
      <w:r w:rsidRPr="006B679F">
        <w:rPr>
          <w:lang w:val="de-DE"/>
        </w:rPr>
        <w:lastRenderedPageBreak/>
        <w:t>Inform</w:t>
      </w:r>
      <w:bookmarkEnd w:id="80"/>
      <w:r w:rsidRPr="006B679F">
        <w:rPr>
          <w:lang w:val="de-DE"/>
        </w:rPr>
        <w:t>ATIONEN ÜBER DAS EIGENKAPITAL</w:t>
      </w:r>
    </w:p>
    <w:p w:rsidR="007D6502" w:rsidRPr="006B679F" w:rsidRDefault="007D6502" w:rsidP="007D6502">
      <w:pPr>
        <w:pStyle w:val="BodyText"/>
        <w:rPr>
          <w:lang w:val="de-DE"/>
        </w:rPr>
      </w:pPr>
    </w:p>
    <w:p w:rsidR="007A005F" w:rsidRDefault="009A1811" w:rsidP="007D6502">
      <w:pPr>
        <w:ind w:left="426" w:right="-2"/>
        <w:rPr>
          <w:sz w:val="18"/>
          <w:szCs w:val="18"/>
          <w:lang w:val="de-DE"/>
        </w:rPr>
      </w:pPr>
      <w:bookmarkStart w:id="81" w:name="OLE_LINK25"/>
      <w:bookmarkStart w:id="82" w:name="OLE_LINK26"/>
      <w:r w:rsidRPr="009A1811">
        <w:rPr>
          <w:sz w:val="18"/>
          <w:szCs w:val="18"/>
          <w:lang w:val="de-DE"/>
        </w:rPr>
        <w:t>In der folgenden Tabelle wird die Übersicht über die Bewegung des Eigenkapitals</w:t>
      </w:r>
      <w:r w:rsidRPr="009A1811">
        <w:rPr>
          <w:i/>
          <w:sz w:val="18"/>
          <w:szCs w:val="18"/>
          <w:lang w:val="de-DE"/>
        </w:rPr>
        <w:t xml:space="preserve"> </w:t>
      </w:r>
      <w:r w:rsidRPr="009A1811">
        <w:rPr>
          <w:sz w:val="18"/>
          <w:szCs w:val="18"/>
          <w:lang w:val="de-DE"/>
        </w:rPr>
        <w:t>während der Buchungsperiode dargestellt:</w:t>
      </w:r>
      <w:bookmarkEnd w:id="81"/>
      <w:bookmarkEnd w:id="82"/>
    </w:p>
    <w:p w:rsidR="00DA6BBA" w:rsidRDefault="00252994" w:rsidP="00DA6BBA">
      <w:pPr>
        <w:pStyle w:val="BodyText"/>
        <w:rPr>
          <w:i/>
          <w:szCs w:val="18"/>
          <w:u w:val="single"/>
        </w:rPr>
      </w:pPr>
      <w:r>
        <w:rPr>
          <w:i/>
          <w:szCs w:val="18"/>
          <w:u w:val="single"/>
        </w:rPr>
        <w:t>(</w:t>
      </w:r>
      <w:r w:rsidR="00DA6BBA">
        <w:rPr>
          <w:i/>
          <w:szCs w:val="18"/>
          <w:u w:val="single"/>
        </w:rPr>
        <w:t>Der Inhalt, die Anzahl der Zeilen und Spalten in der Tabelle dürfen nicht geändert werden. Diese Information ist zu löschen.</w:t>
      </w:r>
      <w:r>
        <w:rPr>
          <w:i/>
          <w:szCs w:val="18"/>
          <w:u w:val="single"/>
        </w:rPr>
        <w:t>)</w:t>
      </w:r>
    </w:p>
    <w:p w:rsidR="00DA6BBA" w:rsidRDefault="00DA6BBA" w:rsidP="007D6502">
      <w:pPr>
        <w:ind w:left="426" w:right="-2"/>
        <w:rPr>
          <w:sz w:val="18"/>
          <w:szCs w:val="18"/>
          <w:lang w:val="de-DE"/>
        </w:rPr>
      </w:pPr>
    </w:p>
    <w:p w:rsidR="00044CDC" w:rsidRDefault="00044CDC" w:rsidP="007D6502">
      <w:pPr>
        <w:ind w:left="426" w:right="-2"/>
        <w:rPr>
          <w:sz w:val="18"/>
          <w:szCs w:val="18"/>
          <w:lang w:val="de-DE"/>
        </w:rPr>
      </w:pPr>
    </w:p>
    <w:bookmarkStart w:id="83" w:name="_MON_1410172409"/>
    <w:bookmarkEnd w:id="83"/>
    <w:p w:rsidR="00044CDC" w:rsidRPr="00162059" w:rsidRDefault="00A81264" w:rsidP="007D6502">
      <w:pPr>
        <w:ind w:left="426" w:right="-2"/>
        <w:rPr>
          <w:sz w:val="18"/>
          <w:szCs w:val="18"/>
          <w:lang w:val="de-DE"/>
        </w:rPr>
      </w:pPr>
      <w:r>
        <w:object w:dxaOrig="9244" w:dyaOrig="8186">
          <v:shape id="_x0000_i1072" type="#_x0000_t75" style="width:438pt;height:432.75pt" o:ole="" o:preferrelative="f">
            <v:imagedata r:id="rId123" o:title=""/>
            <o:lock v:ext="edit" aspectratio="f"/>
          </v:shape>
          <o:OLEObject Type="Embed" ProgID="Excel.Sheet.12" ShapeID="_x0000_i1072" DrawAspect="Content" ObjectID="_1448991432" r:id="rId124"/>
        </w:object>
      </w:r>
    </w:p>
    <w:p w:rsidR="001814FE" w:rsidRDefault="001814FE" w:rsidP="00044CDC">
      <w:pPr>
        <w:pStyle w:val="BodyText"/>
        <w:rPr>
          <w:lang w:val="de-DE"/>
        </w:rPr>
      </w:pPr>
    </w:p>
    <w:p w:rsidR="00044CDC" w:rsidRDefault="00044CDC" w:rsidP="00044CDC">
      <w:pPr>
        <w:pStyle w:val="BodyText"/>
        <w:rPr>
          <w:lang w:val="de-DE"/>
        </w:rPr>
      </w:pPr>
      <w:r w:rsidRPr="00C12D73">
        <w:rPr>
          <w:lang w:val="de-DE"/>
        </w:rPr>
        <w:t xml:space="preserve">Das gezeichnete Kapital hat sich während des Geschäftsjahres </w:t>
      </w:r>
      <w:r w:rsidR="00DA6BBA">
        <w:rPr>
          <w:lang w:val="de-DE"/>
        </w:rPr>
        <w:t>201</w:t>
      </w:r>
      <w:r w:rsidR="00C57672">
        <w:rPr>
          <w:lang w:val="de-DE"/>
        </w:rPr>
        <w:t>3</w:t>
      </w:r>
      <w:r w:rsidR="00DA6BBA">
        <w:rPr>
          <w:lang w:val="de-DE"/>
        </w:rPr>
        <w:t xml:space="preserve"> </w:t>
      </w:r>
      <w:r w:rsidRPr="00C12D73">
        <w:rPr>
          <w:lang w:val="de-DE"/>
        </w:rPr>
        <w:t xml:space="preserve">um </w:t>
      </w:r>
      <w:r w:rsidRPr="009D33FD">
        <w:rPr>
          <w:lang w:val="de-DE"/>
        </w:rPr>
        <w:t xml:space="preserve">EUR </w:t>
      </w:r>
      <w:r>
        <w:rPr>
          <w:lang w:val="de-DE"/>
        </w:rPr>
        <w:t xml:space="preserve">1 </w:t>
      </w:r>
      <w:r w:rsidRPr="009D33FD">
        <w:rPr>
          <w:lang w:val="de-DE"/>
        </w:rPr>
        <w:t>327</w:t>
      </w:r>
      <w:r>
        <w:rPr>
          <w:lang w:val="de-DE"/>
        </w:rPr>
        <w:t xml:space="preserve"> </w:t>
      </w:r>
      <w:r w:rsidRPr="009D33FD">
        <w:rPr>
          <w:lang w:val="de-DE"/>
        </w:rPr>
        <w:t xml:space="preserve">757 </w:t>
      </w:r>
      <w:r w:rsidRPr="00C12D73">
        <w:rPr>
          <w:lang w:val="de-DE"/>
        </w:rPr>
        <w:t xml:space="preserve">erhöht, und zwar zum einen durch eine Geldeinlage (i.H.v. </w:t>
      </w:r>
      <w:r w:rsidRPr="009D33FD">
        <w:rPr>
          <w:lang w:val="de-DE"/>
        </w:rPr>
        <w:t>EUR 663</w:t>
      </w:r>
      <w:r>
        <w:rPr>
          <w:lang w:val="de-DE"/>
        </w:rPr>
        <w:t xml:space="preserve"> </w:t>
      </w:r>
      <w:r w:rsidRPr="009D33FD">
        <w:rPr>
          <w:lang w:val="de-DE"/>
        </w:rPr>
        <w:t>878</w:t>
      </w:r>
      <w:r w:rsidRPr="00C12D73">
        <w:rPr>
          <w:lang w:val="de-DE"/>
        </w:rPr>
        <w:t xml:space="preserve">) und zum anderen durch eine Sacheinlage (Kapitalisierung einer Verbindlichkeit i.H.v. </w:t>
      </w:r>
      <w:r w:rsidRPr="009D33FD">
        <w:rPr>
          <w:lang w:val="de-DE"/>
        </w:rPr>
        <w:t>EUR 663</w:t>
      </w:r>
      <w:r>
        <w:rPr>
          <w:lang w:val="de-DE"/>
        </w:rPr>
        <w:t xml:space="preserve"> </w:t>
      </w:r>
      <w:r w:rsidRPr="009D33FD">
        <w:rPr>
          <w:lang w:val="de-DE"/>
        </w:rPr>
        <w:t>879</w:t>
      </w:r>
      <w:r w:rsidRPr="00C12D73">
        <w:rPr>
          <w:lang w:val="de-DE"/>
        </w:rPr>
        <w:t>). Diese Erhöhu</w:t>
      </w:r>
      <w:r>
        <w:rPr>
          <w:lang w:val="de-DE"/>
        </w:rPr>
        <w:t xml:space="preserve">ng wurde bereits zum 31. Dezember </w:t>
      </w:r>
      <w:r w:rsidR="00DA6BBA">
        <w:rPr>
          <w:lang w:val="de-DE"/>
        </w:rPr>
        <w:t>201</w:t>
      </w:r>
      <w:r w:rsidR="00C57672">
        <w:rPr>
          <w:lang w:val="de-DE"/>
        </w:rPr>
        <w:t>3</w:t>
      </w:r>
      <w:r w:rsidR="00DA6BBA">
        <w:rPr>
          <w:lang w:val="de-DE"/>
        </w:rPr>
        <w:t xml:space="preserve"> </w:t>
      </w:r>
      <w:r>
        <w:rPr>
          <w:lang w:val="de-DE"/>
        </w:rPr>
        <w:t>ins</w:t>
      </w:r>
      <w:r w:rsidRPr="00C12D73">
        <w:rPr>
          <w:lang w:val="de-DE"/>
        </w:rPr>
        <w:t xml:space="preserve"> Handelsregister eingetragen.</w:t>
      </w:r>
    </w:p>
    <w:p w:rsidR="007D6502" w:rsidRDefault="007D6502" w:rsidP="007D6502">
      <w:pPr>
        <w:pStyle w:val="BodyText"/>
        <w:rPr>
          <w:lang w:val="de-DE"/>
        </w:rPr>
      </w:pPr>
    </w:p>
    <w:p w:rsidR="00DA6BBA" w:rsidRDefault="00DA6BBA" w:rsidP="007D6502">
      <w:pPr>
        <w:pStyle w:val="BodyText"/>
        <w:rPr>
          <w:lang w:val="de-DE"/>
        </w:rPr>
      </w:pPr>
      <w:r>
        <w:rPr>
          <w:lang w:val="de-DE"/>
        </w:rPr>
        <w:t>Das gezeichnete Kapital wurde in vollem Umfang eingezahlt.</w:t>
      </w:r>
    </w:p>
    <w:p w:rsidR="00DA6BBA" w:rsidRPr="000D6845" w:rsidRDefault="00DA6BBA" w:rsidP="007D6502">
      <w:pPr>
        <w:pStyle w:val="BodyText"/>
        <w:rPr>
          <w:lang w:val="de-DE"/>
        </w:rPr>
      </w:pPr>
    </w:p>
    <w:p w:rsidR="004C5469" w:rsidRDefault="004C5469" w:rsidP="004C5469">
      <w:pPr>
        <w:pStyle w:val="BodyText"/>
        <w:rPr>
          <w:lang w:val="de-DE"/>
        </w:rPr>
      </w:pPr>
      <w:r w:rsidRPr="00C12D73">
        <w:rPr>
          <w:lang w:val="de-DE"/>
        </w:rPr>
        <w:t xml:space="preserve">Als sonstige Kapitalrücklagen i.H.v. </w:t>
      </w:r>
      <w:r w:rsidRPr="009D33FD">
        <w:rPr>
          <w:lang w:val="de-DE"/>
        </w:rPr>
        <w:t>EUR 165</w:t>
      </w:r>
      <w:r>
        <w:rPr>
          <w:lang w:val="de-DE"/>
        </w:rPr>
        <w:t xml:space="preserve"> </w:t>
      </w:r>
      <w:r w:rsidRPr="009D33FD">
        <w:rPr>
          <w:lang w:val="de-DE"/>
        </w:rPr>
        <w:t xml:space="preserve">969 </w:t>
      </w:r>
      <w:r w:rsidRPr="00C12D73">
        <w:rPr>
          <w:lang w:val="de-DE"/>
        </w:rPr>
        <w:t>wurde die Sacheinlage des G</w:t>
      </w:r>
      <w:r>
        <w:rPr>
          <w:lang w:val="de-DE"/>
        </w:rPr>
        <w:t>esellschafters aus dem Jahr 1999</w:t>
      </w:r>
      <w:r w:rsidRPr="00C12D73">
        <w:rPr>
          <w:lang w:val="de-DE"/>
        </w:rPr>
        <w:t xml:space="preserve"> ausgewiesen, die das gezeichnete Kapital nicht erhöht hat. </w:t>
      </w:r>
    </w:p>
    <w:p w:rsidR="004C5469" w:rsidRPr="00C15AAD" w:rsidRDefault="004C5469" w:rsidP="004C5469">
      <w:pPr>
        <w:pStyle w:val="BodyText"/>
        <w:rPr>
          <w:szCs w:val="18"/>
          <w:lang w:val="de-DE"/>
        </w:rPr>
      </w:pPr>
    </w:p>
    <w:p w:rsidR="00044CDC" w:rsidRPr="000D6845" w:rsidRDefault="00687C63" w:rsidP="00044CDC">
      <w:pPr>
        <w:pStyle w:val="BodyText"/>
        <w:rPr>
          <w:lang w:val="de-DE"/>
        </w:rPr>
      </w:pPr>
      <w:r w:rsidRPr="00687C63">
        <w:rPr>
          <w:lang w:val="de-DE"/>
        </w:rPr>
        <w:t xml:space="preserve">In der Position Bewertungsdifferenzen aus der Neubewertung von Vermögensgegenständen und Verbindlichkeiten ist die Neubewertung von Sicherungsderivaten zum Realwert ausgewiesen. Nähere Informationen über Derivate werden im Teil </w:t>
      </w:r>
      <w:r w:rsidR="00C17A50">
        <w:rPr>
          <w:lang w:val="de-DE"/>
        </w:rPr>
        <w:t>G.9 beschrieben.</w:t>
      </w:r>
    </w:p>
    <w:p w:rsidR="007D6502" w:rsidRPr="000D6845" w:rsidRDefault="007D6502" w:rsidP="007D6502">
      <w:pPr>
        <w:pStyle w:val="BodyText"/>
        <w:rPr>
          <w:lang w:val="de-DE"/>
        </w:rPr>
      </w:pPr>
    </w:p>
    <w:p w:rsidR="007D6502" w:rsidRPr="00CA4528" w:rsidRDefault="007D6502" w:rsidP="007D6502">
      <w:pPr>
        <w:pStyle w:val="BodyText"/>
      </w:pPr>
    </w:p>
    <w:p w:rsidR="007D6502" w:rsidRPr="00CA4528" w:rsidRDefault="007D6502" w:rsidP="007D6502">
      <w:pPr>
        <w:pStyle w:val="BodyText"/>
      </w:pPr>
    </w:p>
    <w:p w:rsidR="007D6502" w:rsidRDefault="007D6502" w:rsidP="007D6502">
      <w:pPr>
        <w:pStyle w:val="BodyText"/>
        <w:rPr>
          <w:lang w:val="de-DE"/>
        </w:rPr>
      </w:pPr>
      <w:r w:rsidRPr="000A741B">
        <w:rPr>
          <w:lang w:val="de-DE"/>
        </w:rPr>
        <w:t>In der folgenden Tabelle wird die Bewegung des Eigenkapitals während der Vorperiode dargestellt:</w:t>
      </w:r>
    </w:p>
    <w:p w:rsidR="00DA6BBA" w:rsidRDefault="00252994" w:rsidP="00DA6BBA">
      <w:pPr>
        <w:pStyle w:val="BodyText"/>
        <w:rPr>
          <w:i/>
          <w:szCs w:val="18"/>
          <w:u w:val="single"/>
        </w:rPr>
      </w:pPr>
      <w:r>
        <w:rPr>
          <w:i/>
          <w:szCs w:val="18"/>
          <w:u w:val="single"/>
        </w:rPr>
        <w:t>(</w:t>
      </w:r>
      <w:r w:rsidR="00DA6BBA">
        <w:rPr>
          <w:i/>
          <w:szCs w:val="18"/>
          <w:u w:val="single"/>
        </w:rPr>
        <w:t>Der Inhalt, die Anzahl der Zeilen und Spalten in der Tabelle dürfen nicht geändert werden. Diese Information ist zu löschen.</w:t>
      </w:r>
      <w:r>
        <w:rPr>
          <w:i/>
          <w:szCs w:val="18"/>
          <w:u w:val="single"/>
        </w:rPr>
        <w:t>)</w:t>
      </w:r>
    </w:p>
    <w:p w:rsidR="00DA6BBA" w:rsidRDefault="00DA6BBA" w:rsidP="007D6502">
      <w:pPr>
        <w:pStyle w:val="BodyText"/>
      </w:pPr>
    </w:p>
    <w:p w:rsidR="007D6502" w:rsidRDefault="007D6502" w:rsidP="007D6502">
      <w:pPr>
        <w:pStyle w:val="BodyText"/>
        <w:ind w:left="0"/>
      </w:pPr>
    </w:p>
    <w:bookmarkStart w:id="84" w:name="_MON_1410172566"/>
    <w:bookmarkEnd w:id="84"/>
    <w:p w:rsidR="000D6845" w:rsidRDefault="00A81264" w:rsidP="007D6502">
      <w:pPr>
        <w:pStyle w:val="BodyText"/>
      </w:pPr>
      <w:r w:rsidRPr="004208DB">
        <w:object w:dxaOrig="9105" w:dyaOrig="8186">
          <v:shape id="_x0000_i1073" type="#_x0000_t75" style="width:439.5pt;height:441.75pt" o:ole="" o:preferrelative="f">
            <v:imagedata r:id="rId125" o:title=""/>
            <o:lock v:ext="edit" aspectratio="f"/>
          </v:shape>
          <o:OLEObject Type="Embed" ProgID="Excel.Sheet.12" ShapeID="_x0000_i1073" DrawAspect="Content" ObjectID="_1448991433" r:id="rId126"/>
        </w:object>
      </w:r>
    </w:p>
    <w:p w:rsidR="00BB3662" w:rsidRPr="00C15AAD" w:rsidRDefault="008C782B">
      <w:pPr>
        <w:spacing w:after="200" w:line="276" w:lineRule="auto"/>
        <w:rPr>
          <w:sz w:val="18"/>
          <w:szCs w:val="18"/>
        </w:rPr>
      </w:pPr>
      <w:r w:rsidRPr="008C782B">
        <w:rPr>
          <w:sz w:val="18"/>
          <w:szCs w:val="18"/>
        </w:rPr>
        <w:br w:type="page"/>
      </w:r>
    </w:p>
    <w:p w:rsidR="00DA6BBA" w:rsidRPr="000A5AA5" w:rsidRDefault="00DA6BBA" w:rsidP="00DA6BBA">
      <w:pPr>
        <w:pStyle w:val="BodyText"/>
        <w:rPr>
          <w:i/>
        </w:rPr>
      </w:pPr>
      <w:r w:rsidRPr="00AC1783">
        <w:rPr>
          <w:i/>
        </w:rPr>
        <w:lastRenderedPageBreak/>
        <w:t>Inform</w:t>
      </w:r>
      <w:r w:rsidR="00425924">
        <w:rPr>
          <w:i/>
        </w:rPr>
        <w:t>ationen, die anzugeben sind, falls es sich um den Jahresabschluss einer Aktiengesellschaft handelt</w:t>
      </w:r>
    </w:p>
    <w:p w:rsidR="00DA6BBA" w:rsidRDefault="00252994" w:rsidP="00DA6BBA">
      <w:pPr>
        <w:pStyle w:val="BodyText"/>
        <w:rPr>
          <w:i/>
          <w:szCs w:val="18"/>
          <w:u w:val="single"/>
        </w:rPr>
      </w:pPr>
      <w:r>
        <w:rPr>
          <w:i/>
          <w:szCs w:val="18"/>
          <w:u w:val="single"/>
        </w:rPr>
        <w:t>(</w:t>
      </w:r>
      <w:r w:rsidR="00425924">
        <w:rPr>
          <w:i/>
          <w:szCs w:val="18"/>
          <w:u w:val="single"/>
        </w:rPr>
        <w:t xml:space="preserve">Die Form und die Art der </w:t>
      </w:r>
      <w:r w:rsidR="0071173F">
        <w:rPr>
          <w:i/>
          <w:szCs w:val="18"/>
          <w:u w:val="single"/>
        </w:rPr>
        <w:t>Angabe der Informationen sind nicht vorgeschrieben. Diese Information ist zu löschen.</w:t>
      </w:r>
      <w:r>
        <w:rPr>
          <w:i/>
          <w:szCs w:val="18"/>
          <w:u w:val="single"/>
        </w:rPr>
        <w:t>)</w:t>
      </w:r>
    </w:p>
    <w:p w:rsidR="00DA6BBA" w:rsidRDefault="00DA6BBA" w:rsidP="00DA6BBA">
      <w:pPr>
        <w:pStyle w:val="BodyText"/>
        <w:rPr>
          <w:i/>
          <w:szCs w:val="18"/>
          <w:u w:val="single"/>
        </w:rPr>
      </w:pPr>
    </w:p>
    <w:p w:rsidR="00DA6BBA" w:rsidRDefault="00C17A50" w:rsidP="00DA6BBA">
      <w:pPr>
        <w:pStyle w:val="BodyText"/>
        <w:rPr>
          <w:i/>
          <w:szCs w:val="18"/>
        </w:rPr>
      </w:pPr>
      <w:r>
        <w:rPr>
          <w:i/>
          <w:szCs w:val="18"/>
        </w:rPr>
        <w:t xml:space="preserve">Das Grundkapital der Gesellschaft i.H.v. EUR </w:t>
      </w:r>
      <w:r w:rsidR="008C782B" w:rsidRPr="008C782B">
        <w:rPr>
          <w:i/>
          <w:szCs w:val="18"/>
        </w:rPr>
        <w:t xml:space="preserve">2 233 951 (31. </w:t>
      </w:r>
      <w:r>
        <w:rPr>
          <w:i/>
          <w:szCs w:val="18"/>
        </w:rPr>
        <w:t>Dezember 201</w:t>
      </w:r>
      <w:r w:rsidR="00586771">
        <w:rPr>
          <w:i/>
          <w:szCs w:val="18"/>
        </w:rPr>
        <w:t>2</w:t>
      </w:r>
      <w:r>
        <w:rPr>
          <w:i/>
          <w:szCs w:val="18"/>
        </w:rPr>
        <w:t>: EUR 906 194) besteht aus:</w:t>
      </w:r>
    </w:p>
    <w:p w:rsidR="00DA6BBA" w:rsidRDefault="00DA6BBA" w:rsidP="00DA6BBA">
      <w:pPr>
        <w:pStyle w:val="BodyText"/>
        <w:numPr>
          <w:ilvl w:val="0"/>
          <w:numId w:val="35"/>
        </w:numPr>
        <w:tabs>
          <w:tab w:val="clear" w:pos="340"/>
          <w:tab w:val="num" w:pos="766"/>
        </w:tabs>
        <w:ind w:left="766"/>
        <w:rPr>
          <w:i/>
          <w:szCs w:val="18"/>
        </w:rPr>
      </w:pPr>
      <w:r>
        <w:rPr>
          <w:i/>
          <w:szCs w:val="18"/>
        </w:rPr>
        <w:t xml:space="preserve">x </w:t>
      </w:r>
      <w:r w:rsidR="0071173F">
        <w:rPr>
          <w:i/>
          <w:szCs w:val="18"/>
        </w:rPr>
        <w:t>Stück Stammaktien</w:t>
      </w:r>
      <w:r>
        <w:rPr>
          <w:i/>
          <w:szCs w:val="18"/>
        </w:rPr>
        <w:t xml:space="preserve"> </w:t>
      </w:r>
      <w:r w:rsidR="0071173F">
        <w:rPr>
          <w:i/>
          <w:szCs w:val="18"/>
        </w:rPr>
        <w:t>mit dem Nennbetrag von EUR</w:t>
      </w:r>
      <w:r>
        <w:rPr>
          <w:i/>
          <w:szCs w:val="18"/>
        </w:rPr>
        <w:t xml:space="preserve"> x</w:t>
      </w:r>
      <w:r w:rsidR="0071173F">
        <w:rPr>
          <w:i/>
          <w:szCs w:val="18"/>
        </w:rPr>
        <w:t xml:space="preserve">xx, die Aktie lautet auf Namen und hat die Gestalt eines verbuchten Wertpapieres (zum </w:t>
      </w:r>
      <w:r>
        <w:rPr>
          <w:i/>
          <w:szCs w:val="18"/>
        </w:rPr>
        <w:t>31.</w:t>
      </w:r>
      <w:r w:rsidR="0071173F">
        <w:rPr>
          <w:i/>
          <w:szCs w:val="18"/>
        </w:rPr>
        <w:t xml:space="preserve">Dezember </w:t>
      </w:r>
      <w:r>
        <w:rPr>
          <w:i/>
          <w:szCs w:val="18"/>
        </w:rPr>
        <w:t>201</w:t>
      </w:r>
      <w:r w:rsidR="00586771">
        <w:rPr>
          <w:i/>
          <w:szCs w:val="18"/>
        </w:rPr>
        <w:t>2</w:t>
      </w:r>
      <w:r>
        <w:rPr>
          <w:i/>
          <w:szCs w:val="18"/>
        </w:rPr>
        <w:t xml:space="preserve">: </w:t>
      </w:r>
      <w:r w:rsidR="0071173F">
        <w:rPr>
          <w:i/>
          <w:szCs w:val="18"/>
        </w:rPr>
        <w:t>x Stück Stammaktien mit dem Nennbetrag von EUR xxx,</w:t>
      </w:r>
      <w:r>
        <w:rPr>
          <w:i/>
          <w:szCs w:val="18"/>
        </w:rPr>
        <w:t>),</w:t>
      </w:r>
    </w:p>
    <w:p w:rsidR="0071173F" w:rsidRDefault="0071173F" w:rsidP="0071173F">
      <w:pPr>
        <w:pStyle w:val="BodyText"/>
        <w:numPr>
          <w:ilvl w:val="0"/>
          <w:numId w:val="35"/>
        </w:numPr>
        <w:tabs>
          <w:tab w:val="clear" w:pos="340"/>
          <w:tab w:val="num" w:pos="766"/>
        </w:tabs>
        <w:ind w:left="766"/>
        <w:rPr>
          <w:i/>
          <w:szCs w:val="18"/>
        </w:rPr>
      </w:pPr>
      <w:r>
        <w:rPr>
          <w:i/>
          <w:szCs w:val="18"/>
        </w:rPr>
        <w:t>x Stück Stammaktien mit dem Nennbetrag von EUR xxx, die Aktie lautet auf Namen und hat die Gestalt eines verbuchten Wertpapieres (zum 31.Dezember 201</w:t>
      </w:r>
      <w:r w:rsidR="00586771">
        <w:rPr>
          <w:i/>
          <w:szCs w:val="18"/>
        </w:rPr>
        <w:t>2</w:t>
      </w:r>
      <w:r>
        <w:rPr>
          <w:i/>
          <w:szCs w:val="18"/>
        </w:rPr>
        <w:t>: x Stück Stammaktien mit dem Nennbetrag von EUR xxx,),</w:t>
      </w:r>
    </w:p>
    <w:p w:rsidR="00DA6BBA" w:rsidRDefault="00DA6BBA" w:rsidP="00DA6BBA">
      <w:pPr>
        <w:pStyle w:val="BodyText"/>
        <w:numPr>
          <w:ilvl w:val="0"/>
          <w:numId w:val="35"/>
        </w:numPr>
        <w:tabs>
          <w:tab w:val="clear" w:pos="340"/>
          <w:tab w:val="num" w:pos="766"/>
        </w:tabs>
        <w:ind w:left="766"/>
        <w:rPr>
          <w:b/>
          <w:i/>
          <w:szCs w:val="18"/>
        </w:rPr>
      </w:pPr>
      <w:r>
        <w:rPr>
          <w:i/>
          <w:szCs w:val="18"/>
        </w:rPr>
        <w:t xml:space="preserve">x </w:t>
      </w:r>
      <w:r w:rsidR="0071173F">
        <w:rPr>
          <w:i/>
          <w:szCs w:val="18"/>
        </w:rPr>
        <w:t>Stück</w:t>
      </w:r>
      <w:r>
        <w:rPr>
          <w:i/>
          <w:szCs w:val="18"/>
        </w:rPr>
        <w:t xml:space="preserve"> </w:t>
      </w:r>
      <w:r w:rsidR="0071173F">
        <w:rPr>
          <w:i/>
          <w:szCs w:val="18"/>
        </w:rPr>
        <w:t>Vorzugsaktien</w:t>
      </w:r>
      <w:r>
        <w:rPr>
          <w:i/>
          <w:szCs w:val="18"/>
        </w:rPr>
        <w:t xml:space="preserve"> </w:t>
      </w:r>
      <w:r w:rsidR="009A7F8F">
        <w:rPr>
          <w:i/>
          <w:szCs w:val="18"/>
        </w:rPr>
        <w:t xml:space="preserve">mit dem Nennbetrag von EUR xxx </w:t>
      </w:r>
      <w:r>
        <w:rPr>
          <w:i/>
          <w:szCs w:val="18"/>
        </w:rPr>
        <w:t>(</w:t>
      </w:r>
      <w:r w:rsidR="009A7F8F">
        <w:rPr>
          <w:i/>
          <w:szCs w:val="18"/>
        </w:rPr>
        <w:t>zum</w:t>
      </w:r>
      <w:r>
        <w:rPr>
          <w:i/>
          <w:szCs w:val="18"/>
        </w:rPr>
        <w:t xml:space="preserve"> 31. </w:t>
      </w:r>
      <w:r w:rsidR="009A7F8F">
        <w:rPr>
          <w:i/>
          <w:szCs w:val="18"/>
        </w:rPr>
        <w:t>Dezember</w:t>
      </w:r>
      <w:r>
        <w:rPr>
          <w:i/>
          <w:szCs w:val="18"/>
        </w:rPr>
        <w:t xml:space="preserve"> 201</w:t>
      </w:r>
      <w:r w:rsidR="00586771">
        <w:rPr>
          <w:i/>
          <w:szCs w:val="18"/>
        </w:rPr>
        <w:t>2</w:t>
      </w:r>
      <w:r w:rsidRPr="00AC1783">
        <w:rPr>
          <w:i/>
          <w:szCs w:val="18"/>
        </w:rPr>
        <w:t xml:space="preserve">: xxx </w:t>
      </w:r>
      <w:r w:rsidR="009A7F8F">
        <w:rPr>
          <w:i/>
          <w:szCs w:val="18"/>
        </w:rPr>
        <w:t>Stück Vorzugsaktien mit dem Nennbetrag von EUR xxx</w:t>
      </w:r>
      <w:r w:rsidRPr="00AC1783">
        <w:rPr>
          <w:i/>
          <w:szCs w:val="18"/>
        </w:rPr>
        <w:t>).</w:t>
      </w:r>
      <w:r w:rsidR="009A7F8F">
        <w:rPr>
          <w:i/>
          <w:szCs w:val="18"/>
        </w:rPr>
        <w:t xml:space="preserve"> </w:t>
      </w:r>
    </w:p>
    <w:p w:rsidR="00DA6BBA" w:rsidRDefault="00DA6BBA" w:rsidP="00DA6BBA">
      <w:pPr>
        <w:pStyle w:val="BodyText"/>
        <w:ind w:left="766"/>
        <w:rPr>
          <w:i/>
          <w:szCs w:val="18"/>
        </w:rPr>
      </w:pPr>
    </w:p>
    <w:p w:rsidR="00DA6BBA" w:rsidRDefault="009A7F8F" w:rsidP="00DA6BBA">
      <w:pPr>
        <w:pStyle w:val="BodyText"/>
        <w:rPr>
          <w:b/>
          <w:i/>
        </w:rPr>
      </w:pPr>
      <w:r>
        <w:rPr>
          <w:i/>
        </w:rPr>
        <w:t>Alle Aktien wurden ordnungsgemäß eingezahlt.</w:t>
      </w:r>
    </w:p>
    <w:p w:rsidR="00DA6BBA" w:rsidRDefault="00DA6BBA" w:rsidP="00DA6BBA">
      <w:pPr>
        <w:pStyle w:val="BodyText"/>
        <w:rPr>
          <w:b/>
          <w:i/>
        </w:rPr>
      </w:pPr>
    </w:p>
    <w:p w:rsidR="00DA6BBA" w:rsidRDefault="009A7F8F" w:rsidP="00DA6BBA">
      <w:pPr>
        <w:pStyle w:val="BodyText"/>
        <w:rPr>
          <w:b/>
          <w:i/>
        </w:rPr>
      </w:pPr>
      <w:r>
        <w:rPr>
          <w:i/>
        </w:rPr>
        <w:t xml:space="preserve">Mit den Vorzugsaktien sind die Vorzugsrechte betreffend </w:t>
      </w:r>
      <w:r w:rsidR="00F35FDF">
        <w:rPr>
          <w:i/>
        </w:rPr>
        <w:t>der</w:t>
      </w:r>
      <w:r>
        <w:rPr>
          <w:i/>
        </w:rPr>
        <w:t xml:space="preserve"> Dividende</w:t>
      </w:r>
      <w:r w:rsidR="00F35FDF">
        <w:rPr>
          <w:i/>
        </w:rPr>
        <w:t>n</w:t>
      </w:r>
      <w:r>
        <w:rPr>
          <w:i/>
        </w:rPr>
        <w:t xml:space="preserve"> verbunden. Die Inhaber der Vorzugsaktien haben keine Stimmrechte. </w:t>
      </w:r>
    </w:p>
    <w:p w:rsidR="00DA6BBA" w:rsidRDefault="00DA6BBA" w:rsidP="00DA6BBA">
      <w:pPr>
        <w:pStyle w:val="BodyText"/>
        <w:rPr>
          <w:i/>
        </w:rPr>
      </w:pPr>
    </w:p>
    <w:p w:rsidR="00DA6BBA" w:rsidRDefault="006A36F2" w:rsidP="00DA6BBA">
      <w:pPr>
        <w:pStyle w:val="BodyText"/>
        <w:rPr>
          <w:i/>
        </w:rPr>
      </w:pPr>
      <w:r>
        <w:rPr>
          <w:i/>
        </w:rPr>
        <w:t xml:space="preserve">Die Inhaber der Aktien </w:t>
      </w:r>
      <w:r w:rsidR="00C25CB0">
        <w:rPr>
          <w:i/>
        </w:rPr>
        <w:t xml:space="preserve">haben </w:t>
      </w:r>
      <w:r>
        <w:rPr>
          <w:i/>
        </w:rPr>
        <w:t xml:space="preserve">den Anspruch auf Dividenden nach der Entscheidung der Hauptversammlung und haben Stimmrechte, wobei jede EUR </w:t>
      </w:r>
      <w:r w:rsidR="00DA6BBA">
        <w:rPr>
          <w:i/>
        </w:rPr>
        <w:t xml:space="preserve">xxx </w:t>
      </w:r>
      <w:r>
        <w:rPr>
          <w:i/>
        </w:rPr>
        <w:t>eine Stimme darstellen</w:t>
      </w:r>
      <w:r w:rsidR="00DA6BBA">
        <w:rPr>
          <w:i/>
        </w:rPr>
        <w:t xml:space="preserve"> (</w:t>
      </w:r>
      <w:r>
        <w:rPr>
          <w:i/>
        </w:rPr>
        <w:t>außer den Inhabern der Vorzugsaktien, siehe oben</w:t>
      </w:r>
      <w:r w:rsidR="00DA6BBA">
        <w:rPr>
          <w:i/>
        </w:rPr>
        <w:t>).</w:t>
      </w:r>
    </w:p>
    <w:p w:rsidR="00DA6BBA" w:rsidRDefault="00DA6BBA" w:rsidP="00DA6BBA">
      <w:pPr>
        <w:pStyle w:val="BodyText"/>
        <w:rPr>
          <w:b/>
          <w:i/>
          <w:szCs w:val="18"/>
        </w:rPr>
      </w:pPr>
    </w:p>
    <w:p w:rsidR="00DA6BBA" w:rsidRDefault="006A36F2" w:rsidP="00DA6BBA">
      <w:pPr>
        <w:pStyle w:val="BodyText"/>
        <w:rPr>
          <w:i/>
          <w:szCs w:val="18"/>
        </w:rPr>
      </w:pPr>
      <w:r>
        <w:rPr>
          <w:i/>
          <w:szCs w:val="18"/>
        </w:rPr>
        <w:t>Die Gesellschaft besitzt</w:t>
      </w:r>
      <w:r w:rsidR="00DA6BBA" w:rsidRPr="00AC1783">
        <w:rPr>
          <w:i/>
          <w:szCs w:val="18"/>
        </w:rPr>
        <w:t xml:space="preserve"> xxxx </w:t>
      </w:r>
      <w:r>
        <w:rPr>
          <w:i/>
          <w:szCs w:val="18"/>
        </w:rPr>
        <w:t>Stück eigene Aktien</w:t>
      </w:r>
      <w:r w:rsidR="00DA6BBA" w:rsidRPr="00AC1783">
        <w:rPr>
          <w:i/>
          <w:szCs w:val="18"/>
        </w:rPr>
        <w:t xml:space="preserve"> </w:t>
      </w:r>
      <w:r>
        <w:rPr>
          <w:i/>
          <w:szCs w:val="18"/>
        </w:rPr>
        <w:t>mit dem Nennbetrag von EUR xxx, im Gesamtwert von EUR</w:t>
      </w:r>
      <w:r w:rsidR="00DA6BBA" w:rsidRPr="00AC1783">
        <w:rPr>
          <w:i/>
          <w:szCs w:val="18"/>
        </w:rPr>
        <w:t xml:space="preserve"> xxx </w:t>
      </w:r>
      <w:r w:rsidR="00DA6BBA">
        <w:rPr>
          <w:i/>
          <w:szCs w:val="18"/>
        </w:rPr>
        <w:br/>
      </w:r>
      <w:r w:rsidR="00DA6BBA" w:rsidRPr="00AC1783">
        <w:rPr>
          <w:i/>
          <w:szCs w:val="18"/>
        </w:rPr>
        <w:t xml:space="preserve"> (</w:t>
      </w:r>
      <w:r>
        <w:rPr>
          <w:i/>
          <w:szCs w:val="18"/>
        </w:rPr>
        <w:t xml:space="preserve">zum 31.Dezember </w:t>
      </w:r>
      <w:r w:rsidR="00DA6BBA" w:rsidRPr="00AC1783">
        <w:rPr>
          <w:i/>
          <w:szCs w:val="18"/>
        </w:rPr>
        <w:t>201</w:t>
      </w:r>
      <w:r w:rsidR="00586771">
        <w:rPr>
          <w:i/>
          <w:szCs w:val="18"/>
        </w:rPr>
        <w:t>2</w:t>
      </w:r>
      <w:r w:rsidR="00DA6BBA" w:rsidRPr="00AC1783">
        <w:rPr>
          <w:i/>
          <w:szCs w:val="18"/>
        </w:rPr>
        <w:t xml:space="preserve">: </w:t>
      </w:r>
      <w:r w:rsidRPr="00AC1783">
        <w:rPr>
          <w:i/>
          <w:szCs w:val="18"/>
        </w:rPr>
        <w:t xml:space="preserve">xxxx </w:t>
      </w:r>
      <w:r>
        <w:rPr>
          <w:i/>
          <w:szCs w:val="18"/>
        </w:rPr>
        <w:t>Stück eigene Aktien</w:t>
      </w:r>
      <w:r w:rsidRPr="00AC1783">
        <w:rPr>
          <w:i/>
          <w:szCs w:val="18"/>
        </w:rPr>
        <w:t xml:space="preserve"> </w:t>
      </w:r>
      <w:r>
        <w:rPr>
          <w:i/>
          <w:szCs w:val="18"/>
        </w:rPr>
        <w:t>mit dem Nennbetrag von EUR xxx, im Gesamtwert von EUR</w:t>
      </w:r>
      <w:r w:rsidRPr="00AC1783">
        <w:rPr>
          <w:i/>
          <w:szCs w:val="18"/>
        </w:rPr>
        <w:t xml:space="preserve"> xxx</w:t>
      </w:r>
      <w:r w:rsidR="00DA6BBA" w:rsidRPr="00AC1783">
        <w:rPr>
          <w:i/>
          <w:szCs w:val="18"/>
        </w:rPr>
        <w:t>).</w:t>
      </w:r>
    </w:p>
    <w:p w:rsidR="00DA6BBA" w:rsidRDefault="00DA6BBA" w:rsidP="00DA6BBA">
      <w:pPr>
        <w:pStyle w:val="BodyText"/>
        <w:rPr>
          <w:i/>
          <w:szCs w:val="18"/>
        </w:rPr>
      </w:pPr>
    </w:p>
    <w:p w:rsidR="00DA6BBA" w:rsidRDefault="006A36F2" w:rsidP="00DA6BBA">
      <w:pPr>
        <w:pStyle w:val="tabelLinks"/>
        <w:ind w:left="426"/>
        <w:jc w:val="both"/>
        <w:rPr>
          <w:rFonts w:ascii="Times New Roman" w:hAnsi="Times New Roman"/>
          <w:i/>
          <w:szCs w:val="18"/>
          <w:lang w:val="sk-SK"/>
        </w:rPr>
      </w:pPr>
      <w:r>
        <w:rPr>
          <w:i/>
          <w:szCs w:val="18"/>
          <w:lang w:val="sk-SK"/>
        </w:rPr>
        <w:t>Z</w:t>
      </w:r>
      <w:r w:rsidR="008C782B" w:rsidRPr="008C782B">
        <w:rPr>
          <w:i/>
          <w:szCs w:val="18"/>
          <w:lang w:val="sk-SK"/>
        </w:rPr>
        <w:t xml:space="preserve">um 31.Dezember </w:t>
      </w:r>
      <w:r w:rsidR="00DA6BBA" w:rsidRPr="00AC1783">
        <w:rPr>
          <w:rFonts w:ascii="Times New Roman" w:hAnsi="Times New Roman"/>
          <w:i/>
          <w:szCs w:val="18"/>
          <w:lang w:val="sk-SK"/>
        </w:rPr>
        <w:t>201</w:t>
      </w:r>
      <w:r w:rsidR="00586771">
        <w:rPr>
          <w:rFonts w:ascii="Times New Roman" w:hAnsi="Times New Roman"/>
          <w:i/>
          <w:szCs w:val="18"/>
          <w:lang w:val="sk-SK"/>
        </w:rPr>
        <w:t>3</w:t>
      </w:r>
      <w:r w:rsidR="00DA6BBA" w:rsidRPr="00AC1783">
        <w:rPr>
          <w:rFonts w:ascii="Times New Roman" w:hAnsi="Times New Roman"/>
          <w:i/>
          <w:szCs w:val="18"/>
          <w:lang w:val="sk-SK"/>
        </w:rPr>
        <w:t xml:space="preserve"> </w:t>
      </w:r>
      <w:r w:rsidR="0037025C">
        <w:rPr>
          <w:rFonts w:ascii="Times New Roman" w:hAnsi="Times New Roman"/>
          <w:i/>
          <w:szCs w:val="18"/>
          <w:lang w:val="sk-SK"/>
        </w:rPr>
        <w:t xml:space="preserve">was der Grundgewinn i.H.v. EUR </w:t>
      </w:r>
      <w:r w:rsidR="00DA6BBA" w:rsidRPr="00AC1783">
        <w:rPr>
          <w:rFonts w:ascii="Times New Roman" w:hAnsi="Times New Roman"/>
          <w:i/>
          <w:szCs w:val="18"/>
          <w:lang w:val="sk-SK"/>
        </w:rPr>
        <w:t xml:space="preserve">xx EUR </w:t>
      </w:r>
      <w:r w:rsidR="0037025C">
        <w:rPr>
          <w:rFonts w:ascii="Times New Roman" w:hAnsi="Times New Roman"/>
          <w:i/>
          <w:szCs w:val="18"/>
          <w:lang w:val="sk-SK"/>
        </w:rPr>
        <w:t>pro Stammaktie</w:t>
      </w:r>
      <w:r w:rsidR="00DA6BBA" w:rsidRPr="00AC1783">
        <w:rPr>
          <w:rFonts w:ascii="Times New Roman" w:hAnsi="Times New Roman"/>
          <w:i/>
          <w:szCs w:val="18"/>
          <w:lang w:val="sk-SK"/>
        </w:rPr>
        <w:t xml:space="preserve"> (</w:t>
      </w:r>
      <w:r w:rsidR="008C782B" w:rsidRPr="008C782B">
        <w:rPr>
          <w:i/>
          <w:szCs w:val="18"/>
          <w:lang w:val="sk-SK"/>
        </w:rPr>
        <w:t xml:space="preserve">zum 31.Dezember </w:t>
      </w:r>
      <w:r w:rsidR="00DA6BBA" w:rsidRPr="00AC1783">
        <w:rPr>
          <w:rFonts w:ascii="Times New Roman" w:hAnsi="Times New Roman"/>
          <w:i/>
          <w:szCs w:val="18"/>
          <w:lang w:val="sk-SK"/>
        </w:rPr>
        <w:t>201</w:t>
      </w:r>
      <w:r w:rsidR="00586771">
        <w:rPr>
          <w:rFonts w:ascii="Times New Roman" w:hAnsi="Times New Roman"/>
          <w:i/>
          <w:szCs w:val="18"/>
          <w:lang w:val="sk-SK"/>
        </w:rPr>
        <w:t>2</w:t>
      </w:r>
      <w:r w:rsidR="00DA6BBA" w:rsidRPr="00AC1783">
        <w:rPr>
          <w:rFonts w:ascii="Times New Roman" w:hAnsi="Times New Roman"/>
          <w:i/>
          <w:szCs w:val="18"/>
          <w:lang w:val="sk-SK"/>
        </w:rPr>
        <w:t xml:space="preserve">: </w:t>
      </w:r>
      <w:r w:rsidR="0037025C">
        <w:rPr>
          <w:rFonts w:ascii="Times New Roman" w:hAnsi="Times New Roman"/>
          <w:i/>
          <w:szCs w:val="18"/>
          <w:lang w:val="sk-SK"/>
        </w:rPr>
        <w:t xml:space="preserve">EUR </w:t>
      </w:r>
      <w:r w:rsidR="00DA6BBA" w:rsidRPr="00AC1783">
        <w:rPr>
          <w:rFonts w:ascii="Times New Roman" w:hAnsi="Times New Roman"/>
          <w:i/>
          <w:szCs w:val="18"/>
          <w:lang w:val="sk-SK"/>
        </w:rPr>
        <w:t xml:space="preserve">xxx </w:t>
      </w:r>
      <w:r w:rsidR="0037025C">
        <w:rPr>
          <w:rFonts w:ascii="Times New Roman" w:hAnsi="Times New Roman"/>
          <w:i/>
          <w:szCs w:val="18"/>
          <w:lang w:val="sk-SK"/>
        </w:rPr>
        <w:t>pro Stammaktie</w:t>
      </w:r>
      <w:r w:rsidR="00DA6BBA" w:rsidRPr="00AC1783">
        <w:rPr>
          <w:rFonts w:ascii="Times New Roman" w:hAnsi="Times New Roman"/>
          <w:i/>
          <w:szCs w:val="18"/>
          <w:lang w:val="sk-SK"/>
        </w:rPr>
        <w:t>).</w:t>
      </w:r>
    </w:p>
    <w:p w:rsidR="00DA6BBA" w:rsidRPr="00DA6BBA" w:rsidRDefault="00DA6BBA" w:rsidP="007D6502">
      <w:pPr>
        <w:pStyle w:val="BodyText"/>
      </w:pPr>
    </w:p>
    <w:p w:rsidR="00044CDC" w:rsidRPr="00C15AAD" w:rsidRDefault="00044CDC" w:rsidP="007D6502">
      <w:pPr>
        <w:pStyle w:val="BodyText"/>
        <w:rPr>
          <w:szCs w:val="18"/>
        </w:rPr>
      </w:pPr>
    </w:p>
    <w:p w:rsidR="00C25CB0" w:rsidRPr="00C15AAD" w:rsidRDefault="00C25CB0">
      <w:pPr>
        <w:spacing w:after="200" w:line="276" w:lineRule="auto"/>
        <w:rPr>
          <w:sz w:val="18"/>
          <w:szCs w:val="18"/>
        </w:rPr>
      </w:pPr>
    </w:p>
    <w:p w:rsidR="008D7DB3" w:rsidRPr="00C15AAD" w:rsidRDefault="008C782B">
      <w:pPr>
        <w:spacing w:after="200" w:line="276" w:lineRule="auto"/>
        <w:rPr>
          <w:sz w:val="18"/>
          <w:szCs w:val="18"/>
        </w:rPr>
      </w:pPr>
      <w:r w:rsidRPr="008C782B">
        <w:rPr>
          <w:sz w:val="18"/>
          <w:szCs w:val="18"/>
        </w:rPr>
        <w:br w:type="page"/>
      </w:r>
    </w:p>
    <w:p w:rsidR="007D6502" w:rsidRDefault="007D6502" w:rsidP="007D6502">
      <w:pPr>
        <w:pStyle w:val="BodyText"/>
        <w:rPr>
          <w:lang w:val="de-DE"/>
        </w:rPr>
      </w:pPr>
      <w:r w:rsidRPr="009D33FD">
        <w:rPr>
          <w:lang w:val="de-DE"/>
        </w:rPr>
        <w:lastRenderedPageBreak/>
        <w:t xml:space="preserve">Der </w:t>
      </w:r>
      <w:bookmarkStart w:id="85" w:name="OLE_LINK7"/>
      <w:r w:rsidR="00B82621">
        <w:rPr>
          <w:lang w:val="de-DE"/>
        </w:rPr>
        <w:t>Jahres</w:t>
      </w:r>
      <w:r w:rsidR="00B82621" w:rsidRPr="00687C63">
        <w:rPr>
          <w:lang w:val="de-DE"/>
        </w:rPr>
        <w:t>ü</w:t>
      </w:r>
      <w:r w:rsidR="00B82621">
        <w:rPr>
          <w:lang w:val="de-DE"/>
        </w:rPr>
        <w:t>berschuss</w:t>
      </w:r>
      <w:r w:rsidR="00B82621" w:rsidRPr="009D33FD">
        <w:rPr>
          <w:lang w:val="de-DE"/>
        </w:rPr>
        <w:t xml:space="preserve"> </w:t>
      </w:r>
      <w:bookmarkEnd w:id="85"/>
      <w:r w:rsidRPr="009D33FD">
        <w:rPr>
          <w:lang w:val="de-DE"/>
        </w:rPr>
        <w:t xml:space="preserve">für das Jahr </w:t>
      </w:r>
      <w:r w:rsidR="0037025C">
        <w:rPr>
          <w:lang w:val="de-DE"/>
        </w:rPr>
        <w:t>201</w:t>
      </w:r>
      <w:r w:rsidR="00DD2994">
        <w:rPr>
          <w:lang w:val="de-DE"/>
        </w:rPr>
        <w:t>2</w:t>
      </w:r>
      <w:r w:rsidR="0037025C" w:rsidRPr="009D33FD">
        <w:rPr>
          <w:lang w:val="de-DE"/>
        </w:rPr>
        <w:t xml:space="preserve"> </w:t>
      </w:r>
      <w:r w:rsidRPr="009D33FD">
        <w:rPr>
          <w:lang w:val="de-DE"/>
        </w:rPr>
        <w:t>wurde wie folgt aufgeteilt:</w:t>
      </w:r>
    </w:p>
    <w:p w:rsidR="0037025C" w:rsidRDefault="00252994" w:rsidP="0037025C">
      <w:pPr>
        <w:pStyle w:val="BodyText"/>
        <w:rPr>
          <w:i/>
          <w:szCs w:val="18"/>
          <w:u w:val="single"/>
        </w:rPr>
      </w:pPr>
      <w:r>
        <w:rPr>
          <w:i/>
          <w:szCs w:val="18"/>
          <w:u w:val="single"/>
        </w:rPr>
        <w:t>(</w:t>
      </w:r>
      <w:r w:rsidR="0037025C">
        <w:rPr>
          <w:i/>
          <w:szCs w:val="18"/>
          <w:u w:val="single"/>
        </w:rPr>
        <w:t>Der Inhalt, die Anzahl der Zeilen und Spalten in der Tabelle dürfen nicht geändert werden. Diese Information ist zu löschen.</w:t>
      </w:r>
      <w:r>
        <w:rPr>
          <w:i/>
          <w:szCs w:val="18"/>
          <w:u w:val="single"/>
        </w:rPr>
        <w:t>)</w:t>
      </w:r>
    </w:p>
    <w:p w:rsidR="0037025C" w:rsidRDefault="0037025C" w:rsidP="007D6502">
      <w:pPr>
        <w:pStyle w:val="BodyText"/>
        <w:rPr>
          <w:lang w:val="de-DE"/>
        </w:rPr>
      </w:pPr>
    </w:p>
    <w:p w:rsidR="000D6845" w:rsidRDefault="000D6845" w:rsidP="007D6502">
      <w:pPr>
        <w:pStyle w:val="BodyText"/>
        <w:rPr>
          <w:lang w:val="de-DE"/>
        </w:rPr>
      </w:pPr>
    </w:p>
    <w:bookmarkStart w:id="86" w:name="_MON_1412077553"/>
    <w:bookmarkEnd w:id="86"/>
    <w:p w:rsidR="000D6845" w:rsidRDefault="00563210" w:rsidP="007D6502">
      <w:pPr>
        <w:pStyle w:val="BodyText"/>
        <w:rPr>
          <w:lang w:val="de-DE"/>
        </w:rPr>
      </w:pPr>
      <w:r>
        <w:object w:dxaOrig="8875" w:dyaOrig="710">
          <v:shape id="_x0000_i1074" type="#_x0000_t75" style="width:438.75pt;height:38.25pt" o:ole="" o:preferrelative="f">
            <v:imagedata r:id="rId127" o:title=""/>
            <o:lock v:ext="edit" aspectratio="f"/>
          </v:shape>
          <o:OLEObject Type="Embed" ProgID="Excel.Sheet.12" ShapeID="_x0000_i1074" DrawAspect="Content" ObjectID="_1448991434" r:id="rId128"/>
        </w:object>
      </w:r>
    </w:p>
    <w:p w:rsidR="00044CDC" w:rsidRDefault="00044CDC" w:rsidP="007D6502">
      <w:pPr>
        <w:pStyle w:val="BodyText"/>
        <w:rPr>
          <w:lang w:val="de-DE"/>
        </w:rPr>
      </w:pPr>
    </w:p>
    <w:bookmarkStart w:id="87" w:name="_MON_1410182622"/>
    <w:bookmarkEnd w:id="87"/>
    <w:p w:rsidR="00044CDC" w:rsidRDefault="008270A6" w:rsidP="00301C73">
      <w:pPr>
        <w:pStyle w:val="BodyText"/>
        <w:rPr>
          <w:lang w:val="de-DE"/>
        </w:rPr>
      </w:pPr>
      <w:r w:rsidRPr="00167134">
        <w:object w:dxaOrig="8878" w:dyaOrig="2579">
          <v:shape id="_x0000_i1075" type="#_x0000_t75" style="width:438pt;height:143.25pt" o:ole="" o:preferrelative="f">
            <v:imagedata r:id="rId129" o:title=""/>
            <o:lock v:ext="edit" aspectratio="f"/>
          </v:shape>
          <o:OLEObject Type="Embed" ProgID="Excel.Sheet.12" ShapeID="_x0000_i1075" DrawAspect="Content" ObjectID="_1448991435" r:id="rId130"/>
        </w:object>
      </w:r>
    </w:p>
    <w:p w:rsidR="00687C63" w:rsidRPr="00687C63" w:rsidRDefault="00687C63" w:rsidP="00687C63">
      <w:pPr>
        <w:spacing w:after="200" w:line="276" w:lineRule="auto"/>
        <w:ind w:left="426"/>
        <w:jc w:val="both"/>
        <w:rPr>
          <w:lang w:val="de-AT"/>
        </w:rPr>
      </w:pPr>
      <w:r w:rsidRPr="00687C63">
        <w:rPr>
          <w:sz w:val="18"/>
          <w:lang w:val="de-AT"/>
        </w:rPr>
        <w:t xml:space="preserve">Über die Verwendung des Ergebnisses für das Geschäftsjahr </w:t>
      </w:r>
      <w:r w:rsidR="000B687F" w:rsidRPr="00687C63">
        <w:rPr>
          <w:sz w:val="18"/>
          <w:lang w:val="de-AT"/>
        </w:rPr>
        <w:t>201</w:t>
      </w:r>
      <w:r w:rsidR="00DD2994">
        <w:rPr>
          <w:sz w:val="18"/>
          <w:lang w:val="de-AT"/>
        </w:rPr>
        <w:t>3</w:t>
      </w:r>
      <w:r w:rsidR="000B687F" w:rsidRPr="00687C63">
        <w:rPr>
          <w:sz w:val="18"/>
          <w:lang w:val="de-AT"/>
        </w:rPr>
        <w:t xml:space="preserve"> </w:t>
      </w:r>
      <w:r w:rsidRPr="00687C63">
        <w:rPr>
          <w:sz w:val="18"/>
          <w:lang w:val="de-AT"/>
        </w:rPr>
        <w:t xml:space="preserve">i.H.v. EUR 1 302 045 wird die Gesellschafterversammlung entscheiden. Der Vorschlag des statutarischen Organs an die Gesellschafterversammlung lautet wie folgt: </w:t>
      </w:r>
    </w:p>
    <w:p w:rsidR="00301C73" w:rsidRPr="00B727DE" w:rsidRDefault="00301C73" w:rsidP="00301C73">
      <w:pPr>
        <w:pStyle w:val="BodyText"/>
        <w:numPr>
          <w:ilvl w:val="0"/>
          <w:numId w:val="14"/>
        </w:numPr>
        <w:ind w:left="786"/>
        <w:rPr>
          <w:lang w:val="de-DE"/>
        </w:rPr>
      </w:pPr>
      <w:r w:rsidRPr="00B727DE">
        <w:rPr>
          <w:lang w:val="de-DE"/>
        </w:rPr>
        <w:t>Zufüh</w:t>
      </w:r>
      <w:r>
        <w:rPr>
          <w:lang w:val="de-DE"/>
        </w:rPr>
        <w:t xml:space="preserve">rung in den Sozialfond </w:t>
      </w:r>
      <w:r w:rsidRPr="009D33FD">
        <w:rPr>
          <w:lang w:val="de-DE"/>
        </w:rPr>
        <w:t>EUR 4</w:t>
      </w:r>
      <w:r>
        <w:rPr>
          <w:lang w:val="de-DE"/>
        </w:rPr>
        <w:t xml:space="preserve"> </w:t>
      </w:r>
      <w:r w:rsidRPr="009D33FD">
        <w:rPr>
          <w:lang w:val="de-DE"/>
        </w:rPr>
        <w:t>980</w:t>
      </w:r>
      <w:r>
        <w:rPr>
          <w:lang w:val="de-DE"/>
        </w:rPr>
        <w:t>;</w:t>
      </w:r>
    </w:p>
    <w:p w:rsidR="00301C73" w:rsidRDefault="00301C73" w:rsidP="00301C73">
      <w:pPr>
        <w:pStyle w:val="BodyText"/>
        <w:numPr>
          <w:ilvl w:val="0"/>
          <w:numId w:val="14"/>
        </w:numPr>
        <w:ind w:left="786"/>
        <w:rPr>
          <w:lang w:val="de-DE"/>
        </w:rPr>
      </w:pPr>
      <w:r w:rsidRPr="00B727DE">
        <w:rPr>
          <w:lang w:val="de-DE"/>
        </w:rPr>
        <w:t>V</w:t>
      </w:r>
      <w:r>
        <w:rPr>
          <w:lang w:val="de-DE"/>
        </w:rPr>
        <w:t xml:space="preserve">ortrag auf neue Rechnung </w:t>
      </w:r>
      <w:r w:rsidRPr="009D33FD">
        <w:rPr>
          <w:lang w:val="de-DE"/>
        </w:rPr>
        <w:t>EUR 1</w:t>
      </w:r>
      <w:r>
        <w:rPr>
          <w:lang w:val="de-DE"/>
        </w:rPr>
        <w:t xml:space="preserve"> </w:t>
      </w:r>
      <w:r w:rsidRPr="009D33FD">
        <w:rPr>
          <w:lang w:val="de-DE"/>
        </w:rPr>
        <w:t>2</w:t>
      </w:r>
      <w:r>
        <w:rPr>
          <w:lang w:val="de-DE"/>
        </w:rPr>
        <w:t>97 065</w:t>
      </w:r>
      <w:r w:rsidRPr="00B727DE">
        <w:rPr>
          <w:lang w:val="de-DE"/>
        </w:rPr>
        <w:t>.</w:t>
      </w:r>
    </w:p>
    <w:p w:rsidR="000D6845" w:rsidRDefault="000D6845" w:rsidP="00301C73">
      <w:pPr>
        <w:pStyle w:val="BodyText"/>
        <w:rPr>
          <w:lang w:val="de-DE"/>
        </w:rPr>
      </w:pPr>
    </w:p>
    <w:p w:rsidR="00301C73" w:rsidRDefault="00301C73" w:rsidP="00301C73">
      <w:pPr>
        <w:pStyle w:val="BodyText"/>
        <w:rPr>
          <w:lang w:val="de-AT"/>
        </w:rPr>
      </w:pPr>
      <w:r>
        <w:rPr>
          <w:lang w:val="de-AT"/>
        </w:rPr>
        <w:t xml:space="preserve">Eine Zuführung in die gesetzliche Rücklage ist nicht erforderlich, weil die gesetzliche Rücklage ihre in den Rechtsvorschriften und im </w:t>
      </w:r>
      <w:r w:rsidRPr="003D5959">
        <w:rPr>
          <w:lang w:val="de-AT"/>
        </w:rPr>
        <w:t>Gesells</w:t>
      </w:r>
      <w:r>
        <w:rPr>
          <w:lang w:val="de-AT"/>
        </w:rPr>
        <w:t>chaftsvertrag festgelegte Höchstgrenze bereits erreicht hat.</w:t>
      </w:r>
    </w:p>
    <w:p w:rsidR="000B687F" w:rsidRDefault="000B687F" w:rsidP="00301C73">
      <w:pPr>
        <w:pStyle w:val="BodyText"/>
        <w:rPr>
          <w:lang w:val="de-AT"/>
        </w:rPr>
      </w:pPr>
    </w:p>
    <w:p w:rsidR="000B687F" w:rsidRDefault="000B687F" w:rsidP="000B687F">
      <w:pPr>
        <w:pStyle w:val="BodyText"/>
        <w:rPr>
          <w:i/>
        </w:rPr>
      </w:pPr>
      <w:r>
        <w:rPr>
          <w:i/>
        </w:rPr>
        <w:t xml:space="preserve">Im Fall der Erwirtschaftung eines </w:t>
      </w:r>
      <w:r w:rsidR="00B82621" w:rsidRPr="00B82621">
        <w:rPr>
          <w:i/>
        </w:rPr>
        <w:t>Jahresfehlbetrag</w:t>
      </w:r>
      <w:r w:rsidR="00B82621">
        <w:rPr>
          <w:i/>
        </w:rPr>
        <w:t>es</w:t>
      </w:r>
      <w:r w:rsidR="00B82621" w:rsidRPr="00B82621">
        <w:rPr>
          <w:i/>
        </w:rPr>
        <w:t xml:space="preserve"> </w:t>
      </w:r>
      <w:r>
        <w:rPr>
          <w:i/>
        </w:rPr>
        <w:t xml:space="preserve">wird die folgende Tabelle angeführt: </w:t>
      </w:r>
    </w:p>
    <w:p w:rsidR="000B687F" w:rsidRDefault="000B687F" w:rsidP="000B687F">
      <w:pPr>
        <w:pStyle w:val="BodyText"/>
        <w:rPr>
          <w:i/>
        </w:rPr>
      </w:pPr>
    </w:p>
    <w:p w:rsidR="000B687F" w:rsidRPr="00FB5521" w:rsidRDefault="008C782B" w:rsidP="000B687F">
      <w:pPr>
        <w:pStyle w:val="BodyText"/>
      </w:pPr>
      <w:r w:rsidRPr="008C782B">
        <w:t xml:space="preserve">Der </w:t>
      </w:r>
      <w:bookmarkStart w:id="88" w:name="OLE_LINK8"/>
      <w:r w:rsidR="00B82621">
        <w:rPr>
          <w:lang w:val="de-DE"/>
        </w:rPr>
        <w:t>Jahresfehlbetrag</w:t>
      </w:r>
      <w:r w:rsidR="00B82621" w:rsidRPr="009D33FD">
        <w:rPr>
          <w:lang w:val="de-DE"/>
        </w:rPr>
        <w:t xml:space="preserve"> </w:t>
      </w:r>
      <w:bookmarkEnd w:id="88"/>
      <w:r w:rsidRPr="008C782B">
        <w:t>für das Jahr 201</w:t>
      </w:r>
      <w:r w:rsidR="00DD2994">
        <w:t>2</w:t>
      </w:r>
      <w:r w:rsidRPr="008C782B">
        <w:t xml:space="preserve"> wurde wie folgt ausgeglichen:</w:t>
      </w:r>
    </w:p>
    <w:p w:rsidR="00FF5986" w:rsidRDefault="00252994" w:rsidP="00FF5986">
      <w:pPr>
        <w:pStyle w:val="BodyText"/>
        <w:rPr>
          <w:i/>
          <w:szCs w:val="18"/>
          <w:u w:val="single"/>
        </w:rPr>
      </w:pPr>
      <w:r>
        <w:rPr>
          <w:i/>
          <w:szCs w:val="18"/>
          <w:u w:val="single"/>
        </w:rPr>
        <w:t>(</w:t>
      </w:r>
      <w:r w:rsidR="00FF5986">
        <w:rPr>
          <w:i/>
          <w:szCs w:val="18"/>
          <w:u w:val="single"/>
        </w:rPr>
        <w:t>Der Inhalt, die Anzahl der Zeilen und Spalten in der Tabelle dürfen nicht geändert werden. Diese Information ist zu löschen.</w:t>
      </w:r>
      <w:r>
        <w:rPr>
          <w:i/>
          <w:szCs w:val="18"/>
          <w:u w:val="single"/>
        </w:rPr>
        <w:t>)</w:t>
      </w:r>
    </w:p>
    <w:p w:rsidR="000B687F" w:rsidRDefault="000B687F" w:rsidP="000B687F">
      <w:pPr>
        <w:pStyle w:val="Heading1"/>
        <w:numPr>
          <w:ilvl w:val="0"/>
          <w:numId w:val="0"/>
        </w:numPr>
        <w:spacing w:before="120" w:after="60"/>
        <w:ind w:left="360"/>
      </w:pPr>
    </w:p>
    <w:bookmarkStart w:id="89" w:name="_MON_1405948157"/>
    <w:bookmarkEnd w:id="89"/>
    <w:p w:rsidR="000B687F" w:rsidRDefault="00D17A89" w:rsidP="000B687F">
      <w:pPr>
        <w:pStyle w:val="BodyText"/>
      </w:pPr>
      <w:r w:rsidRPr="00416A0F">
        <w:object w:dxaOrig="8875" w:dyaOrig="710">
          <v:shape id="_x0000_i1076" type="#_x0000_t75" style="width:433.5pt;height:36pt" o:ole="" o:preferrelative="f">
            <v:imagedata r:id="rId131" o:title=""/>
          </v:shape>
          <o:OLEObject Type="Embed" ProgID="Excel.Sheet.12" ShapeID="_x0000_i1076" DrawAspect="Content" ObjectID="_1448991436" r:id="rId132"/>
        </w:object>
      </w:r>
    </w:p>
    <w:p w:rsidR="000B687F" w:rsidRDefault="000B687F" w:rsidP="000B687F">
      <w:pPr>
        <w:pStyle w:val="BodyText"/>
      </w:pPr>
    </w:p>
    <w:bookmarkStart w:id="90" w:name="_MON_1405948211"/>
    <w:bookmarkEnd w:id="90"/>
    <w:p w:rsidR="000B687F" w:rsidRDefault="0046389D" w:rsidP="000B687F">
      <w:pPr>
        <w:pStyle w:val="BodyText"/>
      </w:pPr>
      <w:r w:rsidRPr="001C0A6A">
        <w:object w:dxaOrig="8878" w:dyaOrig="2119">
          <v:shape id="_x0000_i1077" type="#_x0000_t75" style="width:438pt;height:117pt" o:ole="" o:preferrelative="f">
            <v:imagedata r:id="rId133" o:title=""/>
            <o:lock v:ext="edit" aspectratio="f"/>
          </v:shape>
          <o:OLEObject Type="Embed" ProgID="Excel.Sheet.12" ShapeID="_x0000_i1077" DrawAspect="Content" ObjectID="_1448991437" r:id="rId134"/>
        </w:object>
      </w:r>
    </w:p>
    <w:p w:rsidR="000B687F" w:rsidRPr="00CB0340" w:rsidRDefault="000B687F" w:rsidP="00301C73">
      <w:pPr>
        <w:pStyle w:val="BodyText"/>
        <w:rPr>
          <w:lang w:val="de-AT"/>
        </w:rPr>
      </w:pPr>
    </w:p>
    <w:p w:rsidR="00301C73" w:rsidRDefault="00301C73" w:rsidP="00301C73">
      <w:pPr>
        <w:pStyle w:val="BodyText"/>
        <w:ind w:left="0"/>
        <w:rPr>
          <w:highlight w:val="yellow"/>
          <w:lang w:val="de-DE"/>
        </w:rPr>
      </w:pPr>
    </w:p>
    <w:p w:rsidR="00984464" w:rsidRPr="00C15AAD" w:rsidRDefault="00984464" w:rsidP="00301C73">
      <w:pPr>
        <w:pStyle w:val="BodyText"/>
        <w:ind w:left="0"/>
        <w:rPr>
          <w:szCs w:val="18"/>
          <w:highlight w:val="yellow"/>
          <w:lang w:val="de-DE"/>
        </w:rPr>
      </w:pPr>
    </w:p>
    <w:p w:rsidR="00984464" w:rsidRPr="00C15AAD" w:rsidRDefault="00984464" w:rsidP="00301C73">
      <w:pPr>
        <w:pStyle w:val="BodyText"/>
        <w:ind w:left="0"/>
        <w:rPr>
          <w:szCs w:val="18"/>
          <w:highlight w:val="yellow"/>
          <w:lang w:val="de-DE"/>
        </w:rPr>
      </w:pPr>
    </w:p>
    <w:p w:rsidR="00F41188" w:rsidRPr="00C15AAD" w:rsidRDefault="008C782B">
      <w:pPr>
        <w:spacing w:after="200" w:line="276" w:lineRule="auto"/>
        <w:rPr>
          <w:b/>
          <w:caps/>
          <w:sz w:val="18"/>
          <w:szCs w:val="18"/>
        </w:rPr>
      </w:pPr>
      <w:r w:rsidRPr="008C782B">
        <w:rPr>
          <w:sz w:val="18"/>
          <w:szCs w:val="18"/>
        </w:rPr>
        <w:br w:type="page"/>
      </w:r>
    </w:p>
    <w:p w:rsidR="00984464" w:rsidRDefault="00984464" w:rsidP="00984464">
      <w:pPr>
        <w:pStyle w:val="Heading1"/>
        <w:tabs>
          <w:tab w:val="clear" w:pos="450"/>
          <w:tab w:val="num" w:pos="360"/>
        </w:tabs>
        <w:spacing w:before="120" w:after="60"/>
        <w:ind w:left="360"/>
      </w:pPr>
      <w:r>
        <w:lastRenderedPageBreak/>
        <w:t>Inform</w:t>
      </w:r>
      <w:r w:rsidR="0057404F">
        <w:t xml:space="preserve">ATIONEN DER BUCHFÜHRUNGSEINHEITEN, IN WELCHEN EIN ORGAN DER ÖFFENTLICHEN MACHT EINEN MEHRHEITSANTEIL AN STIMMRECHTEN HAT </w:t>
      </w:r>
      <w:r>
        <w:t xml:space="preserve"> </w:t>
      </w:r>
    </w:p>
    <w:p w:rsidR="00984464" w:rsidRPr="00C15AAD" w:rsidRDefault="00984464" w:rsidP="00984464">
      <w:pPr>
        <w:rPr>
          <w:sz w:val="18"/>
          <w:szCs w:val="18"/>
        </w:rPr>
      </w:pPr>
    </w:p>
    <w:p w:rsidR="00984464" w:rsidRPr="00CA1B1A" w:rsidRDefault="00C17A50" w:rsidP="00A71E0C">
      <w:pPr>
        <w:pStyle w:val="Heading1"/>
        <w:numPr>
          <w:ilvl w:val="0"/>
          <w:numId w:val="0"/>
        </w:numPr>
        <w:spacing w:before="120" w:after="60"/>
        <w:ind w:left="426"/>
        <w:jc w:val="both"/>
        <w:rPr>
          <w:b w:val="0"/>
          <w:caps w:val="0"/>
        </w:rPr>
      </w:pPr>
      <w:r>
        <w:rPr>
          <w:b w:val="0"/>
          <w:caps w:val="0"/>
        </w:rPr>
        <w:t>Eine Gesellschaft, in der ein Organ der öffentlichen Macht einen Mehrheitsanteil an Stimrechten hat, deren Tätigkeit in die Kategorie der Industrieproduktion gemäß einer Sondervorschrift (Sek</w:t>
      </w:r>
      <w:r w:rsidR="008C782B" w:rsidRPr="008C782B">
        <w:rPr>
          <w:b w:val="0"/>
          <w:caps w:val="0"/>
        </w:rPr>
        <w:t>tion C der Anlage der Verlautbarung des Statistikamtes der Slowakischen Republik Nr. 306/2007 GesSlg., durch welche die Statistische Klassifikation der wirtschaftlichen Tätigkeiten erlassen wird)</w:t>
      </w:r>
      <w:r>
        <w:rPr>
          <w:b w:val="0"/>
          <w:caps w:val="0"/>
        </w:rPr>
        <w:t xml:space="preserve"> eingeordnet wurde und deren Nettoumsatzerlöse für die unmittelbare Vorperiode höher als EUR 250 000 000 waren, hat die unten angeführten Angaben anzugeben. </w:t>
      </w:r>
    </w:p>
    <w:p w:rsidR="00984464" w:rsidRDefault="00C17A50" w:rsidP="00A71E0C">
      <w:pPr>
        <w:pStyle w:val="Heading1"/>
        <w:numPr>
          <w:ilvl w:val="0"/>
          <w:numId w:val="0"/>
        </w:numPr>
        <w:spacing w:before="120" w:after="60"/>
        <w:ind w:left="426"/>
        <w:jc w:val="both"/>
        <w:rPr>
          <w:b w:val="0"/>
          <w:caps w:val="0"/>
        </w:rPr>
      </w:pPr>
      <w:r>
        <w:rPr>
          <w:b w:val="0"/>
          <w:caps w:val="0"/>
        </w:rPr>
        <w:t>Die Informationen werden nach dem Inhalt der betreffenden Buchführungseinheit angegeben, wobe</w:t>
      </w:r>
      <w:r w:rsidR="00B82621">
        <w:rPr>
          <w:b w:val="0"/>
          <w:caps w:val="0"/>
        </w:rPr>
        <w:t>i</w:t>
      </w:r>
      <w:r>
        <w:rPr>
          <w:b w:val="0"/>
          <w:caps w:val="0"/>
        </w:rPr>
        <w:t xml:space="preserve"> die Form sowie die</w:t>
      </w:r>
      <w:r w:rsidR="00A11A42">
        <w:rPr>
          <w:b w:val="0"/>
          <w:caps w:val="0"/>
        </w:rPr>
        <w:t xml:space="preserve"> Art der Angabe von Informationen nicht vorgeschrieben sind. In unserem illustrativen Jahresabschluss führen wir nur Beispiele für die Angabe dieser Informationen, die Buchführungseinheit hat diese nach ihren konkreten Bedingungen anzugeben und zu beschreiben. </w:t>
      </w:r>
    </w:p>
    <w:p w:rsidR="00F01166" w:rsidRDefault="00F01166">
      <w:pPr>
        <w:pStyle w:val="BodyText"/>
        <w:rPr>
          <w:i/>
          <w:szCs w:val="18"/>
          <w:u w:val="single"/>
        </w:rPr>
      </w:pPr>
    </w:p>
    <w:p w:rsidR="00984464" w:rsidRDefault="00A11A42" w:rsidP="00A71E0C">
      <w:pPr>
        <w:pStyle w:val="Heading1"/>
        <w:numPr>
          <w:ilvl w:val="0"/>
          <w:numId w:val="0"/>
        </w:numPr>
        <w:spacing w:before="120" w:after="60"/>
        <w:ind w:left="426"/>
        <w:jc w:val="both"/>
      </w:pPr>
      <w:r>
        <w:rPr>
          <w:b w:val="0"/>
          <w:caps w:val="0"/>
        </w:rPr>
        <w:t xml:space="preserve">Die Zusammensetzung sowie die Höhe des gezeichneten Kapitals, das auf die Organe der öffentlichen Macht und auf andere Personen, in welchen ein Organ der öffentlichen Macht einen Mehrheitsanteil an Stimmrechten hat, entfälllt: </w:t>
      </w:r>
    </w:p>
    <w:p w:rsidR="00984464" w:rsidRDefault="00984464" w:rsidP="00A71E0C">
      <w:pPr>
        <w:pStyle w:val="BodyText"/>
        <w:rPr>
          <w:i/>
          <w:szCs w:val="18"/>
          <w:u w:val="single"/>
        </w:rPr>
      </w:pPr>
    </w:p>
    <w:p w:rsidR="00984464" w:rsidRDefault="00A11A42" w:rsidP="00984464">
      <w:pPr>
        <w:ind w:left="426"/>
        <w:jc w:val="both"/>
        <w:rPr>
          <w:sz w:val="18"/>
          <w:szCs w:val="18"/>
        </w:rPr>
      </w:pPr>
      <w:r>
        <w:rPr>
          <w:sz w:val="18"/>
          <w:szCs w:val="18"/>
        </w:rPr>
        <w:t xml:space="preserve">Die Struktur des gezeichneten Kapitals der Gesellschaft zum </w:t>
      </w:r>
      <w:r w:rsidR="00984464" w:rsidRPr="00AC1783">
        <w:rPr>
          <w:sz w:val="18"/>
          <w:szCs w:val="18"/>
        </w:rPr>
        <w:t xml:space="preserve">31. </w:t>
      </w:r>
      <w:r w:rsidR="00EF0ECE">
        <w:rPr>
          <w:sz w:val="18"/>
          <w:szCs w:val="18"/>
        </w:rPr>
        <w:t>Dezember</w:t>
      </w:r>
      <w:r w:rsidR="00984464" w:rsidRPr="00AC1783">
        <w:rPr>
          <w:sz w:val="18"/>
          <w:szCs w:val="18"/>
        </w:rPr>
        <w:t xml:space="preserve"> 201</w:t>
      </w:r>
      <w:r w:rsidR="00DD2994">
        <w:rPr>
          <w:sz w:val="18"/>
          <w:szCs w:val="18"/>
        </w:rPr>
        <w:t>3</w:t>
      </w:r>
      <w:r w:rsidR="00984464" w:rsidRPr="00AC1783">
        <w:rPr>
          <w:sz w:val="18"/>
          <w:szCs w:val="18"/>
        </w:rPr>
        <w:t xml:space="preserve"> </w:t>
      </w:r>
      <w:r w:rsidR="00EF0ECE">
        <w:rPr>
          <w:sz w:val="18"/>
          <w:szCs w:val="18"/>
        </w:rPr>
        <w:t>wird im Teil</w:t>
      </w:r>
      <w:r w:rsidR="00984464" w:rsidRPr="00AC1783">
        <w:rPr>
          <w:sz w:val="18"/>
          <w:szCs w:val="18"/>
        </w:rPr>
        <w:t xml:space="preserve"> C </w:t>
      </w:r>
      <w:r w:rsidR="00EF0ECE">
        <w:rPr>
          <w:sz w:val="18"/>
          <w:szCs w:val="18"/>
        </w:rPr>
        <w:t>und</w:t>
      </w:r>
      <w:r w:rsidR="00984464" w:rsidRPr="00AC1783">
        <w:rPr>
          <w:sz w:val="18"/>
          <w:szCs w:val="18"/>
        </w:rPr>
        <w:t> P</w:t>
      </w:r>
      <w:r w:rsidR="00EF0ECE">
        <w:rPr>
          <w:sz w:val="18"/>
          <w:szCs w:val="18"/>
        </w:rPr>
        <w:t xml:space="preserve"> beschrieben</w:t>
      </w:r>
      <w:r w:rsidR="00984464" w:rsidRPr="00AC1783">
        <w:rPr>
          <w:sz w:val="18"/>
          <w:szCs w:val="18"/>
        </w:rPr>
        <w:t xml:space="preserve">.  </w:t>
      </w:r>
    </w:p>
    <w:p w:rsidR="00984464" w:rsidRDefault="00984464" w:rsidP="00984464">
      <w:pPr>
        <w:ind w:left="426"/>
        <w:jc w:val="both"/>
        <w:rPr>
          <w:sz w:val="18"/>
          <w:szCs w:val="18"/>
        </w:rPr>
      </w:pPr>
    </w:p>
    <w:p w:rsidR="00984464" w:rsidRDefault="00EF0ECE" w:rsidP="00984464">
      <w:pPr>
        <w:ind w:left="426"/>
        <w:jc w:val="both"/>
        <w:rPr>
          <w:sz w:val="18"/>
          <w:szCs w:val="18"/>
        </w:rPr>
      </w:pPr>
      <w:r>
        <w:rPr>
          <w:sz w:val="18"/>
          <w:szCs w:val="18"/>
        </w:rPr>
        <w:t>Aus der Gesamtanzahl der im Teil P angeführten Aktien</w:t>
      </w:r>
      <w:r w:rsidR="002C4171">
        <w:rPr>
          <w:sz w:val="18"/>
          <w:szCs w:val="18"/>
        </w:rPr>
        <w:t xml:space="preserve"> besitzt</w:t>
      </w:r>
      <w:r>
        <w:rPr>
          <w:sz w:val="18"/>
          <w:szCs w:val="18"/>
        </w:rPr>
        <w:t xml:space="preserve"> </w:t>
      </w:r>
      <w:r w:rsidR="002C4171">
        <w:rPr>
          <w:i/>
          <w:sz w:val="18"/>
          <w:szCs w:val="18"/>
        </w:rPr>
        <w:t xml:space="preserve">das Organ der öffentlichen Macht </w:t>
      </w:r>
      <w:r w:rsidR="002C4171">
        <w:rPr>
          <w:sz w:val="18"/>
          <w:szCs w:val="18"/>
        </w:rPr>
        <w:t xml:space="preserve">(die Bezeichnung anzugeben) xxx Stück Stammaktien, mit dem Nennbetrag von EUR </w:t>
      </w:r>
      <w:r w:rsidR="00984464">
        <w:rPr>
          <w:sz w:val="18"/>
          <w:szCs w:val="18"/>
        </w:rPr>
        <w:t>xxx</w:t>
      </w:r>
      <w:r w:rsidR="00984464" w:rsidRPr="00AC1783">
        <w:rPr>
          <w:sz w:val="18"/>
          <w:szCs w:val="18"/>
        </w:rPr>
        <w:t xml:space="preserve"> (</w:t>
      </w:r>
      <w:r w:rsidR="002C4171">
        <w:rPr>
          <w:sz w:val="18"/>
          <w:szCs w:val="18"/>
        </w:rPr>
        <w:t>zum</w:t>
      </w:r>
      <w:r w:rsidR="00984464" w:rsidRPr="00AC1783">
        <w:rPr>
          <w:sz w:val="18"/>
          <w:szCs w:val="18"/>
        </w:rPr>
        <w:t xml:space="preserve"> 31. </w:t>
      </w:r>
      <w:r w:rsidR="002C4171">
        <w:rPr>
          <w:sz w:val="18"/>
          <w:szCs w:val="18"/>
        </w:rPr>
        <w:t>Dezember</w:t>
      </w:r>
      <w:r w:rsidR="00984464" w:rsidRPr="00AC1783">
        <w:rPr>
          <w:sz w:val="18"/>
          <w:szCs w:val="18"/>
        </w:rPr>
        <w:t xml:space="preserve"> 201</w:t>
      </w:r>
      <w:r w:rsidR="00DD2994">
        <w:rPr>
          <w:sz w:val="18"/>
          <w:szCs w:val="18"/>
        </w:rPr>
        <w:t>2</w:t>
      </w:r>
      <w:r w:rsidR="00984464" w:rsidRPr="00AC1783">
        <w:rPr>
          <w:sz w:val="18"/>
          <w:szCs w:val="18"/>
        </w:rPr>
        <w:t xml:space="preserve">: xxx </w:t>
      </w:r>
      <w:r w:rsidR="002C4171">
        <w:rPr>
          <w:sz w:val="18"/>
          <w:szCs w:val="18"/>
        </w:rPr>
        <w:t>Stück Stammaktien, mit dem Nennbetrag von EUR</w:t>
      </w:r>
      <w:r w:rsidR="00984464" w:rsidRPr="00AC1783">
        <w:rPr>
          <w:sz w:val="18"/>
          <w:szCs w:val="18"/>
        </w:rPr>
        <w:t xml:space="preserve"> xxxx), </w:t>
      </w:r>
      <w:r w:rsidR="002C4171">
        <w:rPr>
          <w:sz w:val="18"/>
          <w:szCs w:val="18"/>
        </w:rPr>
        <w:t>was</w:t>
      </w:r>
      <w:r w:rsidR="00984464" w:rsidRPr="00AC1783">
        <w:rPr>
          <w:sz w:val="18"/>
          <w:szCs w:val="18"/>
        </w:rPr>
        <w:t xml:space="preserve"> xxx % </w:t>
      </w:r>
      <w:r w:rsidR="002C4171">
        <w:rPr>
          <w:sz w:val="18"/>
          <w:szCs w:val="18"/>
        </w:rPr>
        <w:t>an dem gesamten gezeichneten Kapital darstellt</w:t>
      </w:r>
      <w:r w:rsidR="00984464" w:rsidRPr="00AC1783">
        <w:rPr>
          <w:sz w:val="18"/>
          <w:szCs w:val="18"/>
        </w:rPr>
        <w:t xml:space="preserve">. </w:t>
      </w:r>
    </w:p>
    <w:p w:rsidR="00984464" w:rsidRDefault="002C4171" w:rsidP="00A71E0C">
      <w:pPr>
        <w:tabs>
          <w:tab w:val="left" w:pos="426"/>
        </w:tabs>
        <w:autoSpaceDE w:val="0"/>
        <w:autoSpaceDN w:val="0"/>
        <w:adjustRightInd w:val="0"/>
        <w:spacing w:line="244" w:lineRule="atLeast"/>
        <w:ind w:left="426"/>
        <w:jc w:val="both"/>
        <w:rPr>
          <w:sz w:val="18"/>
          <w:szCs w:val="18"/>
        </w:rPr>
      </w:pPr>
      <w:r>
        <w:rPr>
          <w:sz w:val="18"/>
          <w:szCs w:val="18"/>
        </w:rPr>
        <w:t xml:space="preserve">Mit den Aktien ist das Recht auf Dividenden nach der Entscheidung der Hauptversammlung sowie das Stimmrecht verbunden, wober jede EUR </w:t>
      </w:r>
      <w:r w:rsidR="00984464" w:rsidRPr="00AC1783">
        <w:rPr>
          <w:sz w:val="18"/>
          <w:szCs w:val="18"/>
        </w:rPr>
        <w:t xml:space="preserve">xxx </w:t>
      </w:r>
      <w:r>
        <w:rPr>
          <w:sz w:val="18"/>
          <w:szCs w:val="18"/>
        </w:rPr>
        <w:t>eine Stimme darstellen</w:t>
      </w:r>
      <w:r w:rsidR="00984464" w:rsidRPr="00AC1783">
        <w:rPr>
          <w:sz w:val="18"/>
          <w:szCs w:val="18"/>
        </w:rPr>
        <w:t xml:space="preserve">. </w:t>
      </w:r>
    </w:p>
    <w:p w:rsidR="00984464" w:rsidRDefault="00984464" w:rsidP="00984464">
      <w:pPr>
        <w:ind w:left="426"/>
        <w:jc w:val="both"/>
        <w:rPr>
          <w:sz w:val="18"/>
          <w:szCs w:val="18"/>
        </w:rPr>
      </w:pPr>
    </w:p>
    <w:p w:rsidR="00984464" w:rsidRDefault="00984464" w:rsidP="00984464">
      <w:pPr>
        <w:ind w:left="426"/>
        <w:jc w:val="both"/>
        <w:rPr>
          <w:sz w:val="18"/>
          <w:szCs w:val="18"/>
        </w:rPr>
      </w:pPr>
      <w:r w:rsidRPr="00AC1783">
        <w:rPr>
          <w:sz w:val="18"/>
          <w:szCs w:val="18"/>
        </w:rPr>
        <w:t>[Alternat</w:t>
      </w:r>
      <w:r w:rsidR="002C4171">
        <w:rPr>
          <w:sz w:val="18"/>
          <w:szCs w:val="18"/>
        </w:rPr>
        <w:t xml:space="preserve">iv bei einer </w:t>
      </w:r>
      <w:r w:rsidRPr="00AC1783">
        <w:rPr>
          <w:sz w:val="18"/>
          <w:szCs w:val="18"/>
        </w:rPr>
        <w:t>s.</w:t>
      </w:r>
      <w:r w:rsidR="00252994">
        <w:rPr>
          <w:sz w:val="18"/>
          <w:szCs w:val="18"/>
        </w:rPr>
        <w:t xml:space="preserve"> </w:t>
      </w:r>
      <w:r w:rsidRPr="00AC1783">
        <w:rPr>
          <w:sz w:val="18"/>
          <w:szCs w:val="18"/>
        </w:rPr>
        <w:t>r.</w:t>
      </w:r>
      <w:r w:rsidR="00252994">
        <w:rPr>
          <w:sz w:val="18"/>
          <w:szCs w:val="18"/>
        </w:rPr>
        <w:t xml:space="preserve"> </w:t>
      </w:r>
      <w:r w:rsidRPr="00AC1783">
        <w:rPr>
          <w:sz w:val="18"/>
          <w:szCs w:val="18"/>
        </w:rPr>
        <w:t>o.</w:t>
      </w:r>
      <w:r w:rsidR="001B7735">
        <w:rPr>
          <w:sz w:val="18"/>
          <w:szCs w:val="18"/>
        </w:rPr>
        <w:t xml:space="preserve"> </w:t>
      </w:r>
      <w:r w:rsidR="002C4171">
        <w:rPr>
          <w:sz w:val="18"/>
          <w:szCs w:val="18"/>
        </w:rPr>
        <w:t>(GmbH)</w:t>
      </w:r>
      <w:r w:rsidRPr="00AC1783">
        <w:rPr>
          <w:sz w:val="18"/>
          <w:szCs w:val="18"/>
        </w:rPr>
        <w:t xml:space="preserve">: </w:t>
      </w:r>
      <w:r w:rsidR="002C4171">
        <w:rPr>
          <w:sz w:val="18"/>
          <w:szCs w:val="18"/>
        </w:rPr>
        <w:t>Der Wert des Anteils</w:t>
      </w:r>
      <w:r w:rsidRPr="00AC1783">
        <w:rPr>
          <w:sz w:val="18"/>
          <w:szCs w:val="18"/>
        </w:rPr>
        <w:t xml:space="preserve"> </w:t>
      </w:r>
      <w:r w:rsidR="002C4171">
        <w:rPr>
          <w:i/>
          <w:sz w:val="18"/>
          <w:szCs w:val="18"/>
        </w:rPr>
        <w:t xml:space="preserve">des Organs der öffentlichen Macht </w:t>
      </w:r>
      <w:r w:rsidR="002C4171">
        <w:rPr>
          <w:sz w:val="18"/>
          <w:szCs w:val="18"/>
        </w:rPr>
        <w:t>(die Bezeichnung anzugeben) an dem</w:t>
      </w:r>
      <w:r w:rsidR="00D634C0">
        <w:rPr>
          <w:sz w:val="18"/>
          <w:szCs w:val="18"/>
        </w:rPr>
        <w:t xml:space="preserve"> gesamtem gezeichneten Kapital der Gesellschaft beträgt EUR </w:t>
      </w:r>
      <w:r w:rsidRPr="00AC1783">
        <w:rPr>
          <w:sz w:val="18"/>
          <w:szCs w:val="18"/>
        </w:rPr>
        <w:t xml:space="preserve">xxxx, </w:t>
      </w:r>
      <w:r w:rsidR="00D634C0">
        <w:rPr>
          <w:sz w:val="18"/>
          <w:szCs w:val="18"/>
        </w:rPr>
        <w:t>was einen Anteil von</w:t>
      </w:r>
      <w:r w:rsidRPr="00AC1783">
        <w:rPr>
          <w:sz w:val="18"/>
          <w:szCs w:val="18"/>
        </w:rPr>
        <w:t xml:space="preserve"> xxxx %  </w:t>
      </w:r>
      <w:r w:rsidR="00D634C0">
        <w:rPr>
          <w:sz w:val="18"/>
          <w:szCs w:val="18"/>
        </w:rPr>
        <w:t>am gezeichneten Kapital und den diesbezüglichen Stimmrechten darstellt</w:t>
      </w:r>
      <w:r w:rsidRPr="00AC1783">
        <w:rPr>
          <w:sz w:val="18"/>
          <w:szCs w:val="18"/>
        </w:rPr>
        <w:t>.]</w:t>
      </w:r>
    </w:p>
    <w:p w:rsidR="00984464" w:rsidRDefault="00984464" w:rsidP="00984464">
      <w:pPr>
        <w:pStyle w:val="BodyText"/>
        <w:rPr>
          <w:i/>
          <w:szCs w:val="18"/>
          <w:u w:val="single"/>
        </w:rPr>
      </w:pPr>
    </w:p>
    <w:p w:rsidR="00984464" w:rsidRDefault="00D634C0" w:rsidP="00984464">
      <w:pPr>
        <w:ind w:left="426"/>
        <w:jc w:val="both"/>
        <w:rPr>
          <w:sz w:val="18"/>
          <w:szCs w:val="18"/>
        </w:rPr>
      </w:pPr>
      <w:r>
        <w:rPr>
          <w:sz w:val="18"/>
          <w:szCs w:val="18"/>
        </w:rPr>
        <w:t>Zum</w:t>
      </w:r>
      <w:r w:rsidR="00984464" w:rsidRPr="00AC1783">
        <w:rPr>
          <w:sz w:val="18"/>
          <w:szCs w:val="18"/>
        </w:rPr>
        <w:t xml:space="preserve"> 31. </w:t>
      </w:r>
      <w:r>
        <w:rPr>
          <w:sz w:val="18"/>
          <w:szCs w:val="18"/>
        </w:rPr>
        <w:t>Dezember</w:t>
      </w:r>
      <w:r w:rsidR="00984464" w:rsidRPr="00AC1783">
        <w:rPr>
          <w:sz w:val="18"/>
          <w:szCs w:val="18"/>
        </w:rPr>
        <w:t xml:space="preserve"> 201</w:t>
      </w:r>
      <w:r w:rsidR="00DD2994">
        <w:rPr>
          <w:sz w:val="18"/>
          <w:szCs w:val="18"/>
        </w:rPr>
        <w:t>3</w:t>
      </w:r>
      <w:r w:rsidR="00984464" w:rsidRPr="00AC1783">
        <w:rPr>
          <w:sz w:val="18"/>
          <w:szCs w:val="18"/>
        </w:rPr>
        <w:t xml:space="preserve"> </w:t>
      </w:r>
      <w:r>
        <w:rPr>
          <w:sz w:val="18"/>
          <w:szCs w:val="18"/>
        </w:rPr>
        <w:t xml:space="preserve">besitzt </w:t>
      </w:r>
      <w:r>
        <w:rPr>
          <w:i/>
          <w:sz w:val="18"/>
          <w:szCs w:val="18"/>
        </w:rPr>
        <w:t xml:space="preserve">das Organ der öffentlichen Macht </w:t>
      </w:r>
      <w:r>
        <w:rPr>
          <w:sz w:val="18"/>
          <w:szCs w:val="18"/>
        </w:rPr>
        <w:t xml:space="preserve">(die Bezeichnung anzugeben) die folgenden Wertpapiere, mit welchen das Recht auf Austausch für Aktien verbunden ist: </w:t>
      </w:r>
    </w:p>
    <w:p w:rsidR="00984464" w:rsidRDefault="00D634C0" w:rsidP="00984464">
      <w:pPr>
        <w:pStyle w:val="ListParagraph"/>
        <w:numPr>
          <w:ilvl w:val="0"/>
          <w:numId w:val="36"/>
        </w:numPr>
        <w:ind w:hanging="294"/>
        <w:jc w:val="both"/>
        <w:rPr>
          <w:sz w:val="18"/>
          <w:szCs w:val="18"/>
        </w:rPr>
      </w:pPr>
      <w:r>
        <w:rPr>
          <w:sz w:val="18"/>
          <w:szCs w:val="18"/>
        </w:rPr>
        <w:t>Austauschbare Schuldscheine in der Anzahl von</w:t>
      </w:r>
      <w:r w:rsidR="00984464" w:rsidRPr="00AC1783">
        <w:rPr>
          <w:sz w:val="18"/>
          <w:szCs w:val="18"/>
        </w:rPr>
        <w:t xml:space="preserve"> xxx </w:t>
      </w:r>
      <w:r>
        <w:rPr>
          <w:sz w:val="18"/>
          <w:szCs w:val="18"/>
        </w:rPr>
        <w:t>Stück</w:t>
      </w:r>
      <w:r w:rsidR="00984464" w:rsidRPr="00AC1783">
        <w:rPr>
          <w:sz w:val="18"/>
          <w:szCs w:val="18"/>
        </w:rPr>
        <w:t xml:space="preserve">, </w:t>
      </w:r>
      <w:r>
        <w:rPr>
          <w:sz w:val="18"/>
          <w:szCs w:val="18"/>
        </w:rPr>
        <w:t>im Nennbetrag von EUR</w:t>
      </w:r>
      <w:r w:rsidR="00984464" w:rsidRPr="00AC1783">
        <w:rPr>
          <w:sz w:val="18"/>
          <w:szCs w:val="18"/>
        </w:rPr>
        <w:t xml:space="preserve"> xxxx, </w:t>
      </w:r>
      <w:r>
        <w:rPr>
          <w:sz w:val="18"/>
          <w:szCs w:val="18"/>
        </w:rPr>
        <w:t>im Gesamtwert von EUR</w:t>
      </w:r>
      <w:r w:rsidR="00984464" w:rsidRPr="00AC1783">
        <w:rPr>
          <w:sz w:val="18"/>
          <w:szCs w:val="18"/>
        </w:rPr>
        <w:t xml:space="preserve"> xxx, </w:t>
      </w:r>
      <w:r>
        <w:rPr>
          <w:sz w:val="18"/>
          <w:szCs w:val="18"/>
        </w:rPr>
        <w:t>fällig am</w:t>
      </w:r>
      <w:r w:rsidR="00984464" w:rsidRPr="00AC1783">
        <w:rPr>
          <w:sz w:val="18"/>
          <w:szCs w:val="18"/>
        </w:rPr>
        <w:t xml:space="preserve"> xx.xx.xxxx (</w:t>
      </w:r>
      <w:r>
        <w:rPr>
          <w:sz w:val="18"/>
          <w:szCs w:val="18"/>
        </w:rPr>
        <w:t>zum</w:t>
      </w:r>
      <w:r w:rsidR="00984464" w:rsidRPr="00AC1783">
        <w:rPr>
          <w:sz w:val="18"/>
          <w:szCs w:val="18"/>
        </w:rPr>
        <w:t xml:space="preserve"> 31. </w:t>
      </w:r>
      <w:r>
        <w:rPr>
          <w:sz w:val="18"/>
          <w:szCs w:val="18"/>
        </w:rPr>
        <w:t>Dezember</w:t>
      </w:r>
      <w:r w:rsidR="00984464" w:rsidRPr="00AC1783">
        <w:rPr>
          <w:sz w:val="18"/>
          <w:szCs w:val="18"/>
        </w:rPr>
        <w:t xml:space="preserve"> 201</w:t>
      </w:r>
      <w:r w:rsidR="00DD2994">
        <w:rPr>
          <w:sz w:val="18"/>
          <w:szCs w:val="18"/>
        </w:rPr>
        <w:t>2</w:t>
      </w:r>
      <w:r w:rsidR="00984464" w:rsidRPr="00AC1783">
        <w:rPr>
          <w:sz w:val="18"/>
          <w:szCs w:val="18"/>
        </w:rPr>
        <w:t xml:space="preserve">: xx </w:t>
      </w:r>
      <w:r>
        <w:rPr>
          <w:sz w:val="18"/>
          <w:szCs w:val="18"/>
        </w:rPr>
        <w:t>Stück</w:t>
      </w:r>
      <w:r w:rsidRPr="00AC1783">
        <w:rPr>
          <w:sz w:val="18"/>
          <w:szCs w:val="18"/>
        </w:rPr>
        <w:t xml:space="preserve"> </w:t>
      </w:r>
      <w:r>
        <w:rPr>
          <w:sz w:val="18"/>
          <w:szCs w:val="18"/>
        </w:rPr>
        <w:t>im Nennbetrag von EUR</w:t>
      </w:r>
      <w:r w:rsidRPr="00AC1783">
        <w:rPr>
          <w:sz w:val="18"/>
          <w:szCs w:val="18"/>
        </w:rPr>
        <w:t xml:space="preserve"> </w:t>
      </w:r>
      <w:r>
        <w:rPr>
          <w:sz w:val="18"/>
          <w:szCs w:val="18"/>
        </w:rPr>
        <w:t>xxx</w:t>
      </w:r>
      <w:r w:rsidR="00984464" w:rsidRPr="00AC1783">
        <w:rPr>
          <w:sz w:val="18"/>
          <w:szCs w:val="18"/>
        </w:rPr>
        <w:t xml:space="preserve">, </w:t>
      </w:r>
      <w:r>
        <w:rPr>
          <w:sz w:val="18"/>
          <w:szCs w:val="18"/>
        </w:rPr>
        <w:t>im Gesamtwert von EUR</w:t>
      </w:r>
      <w:r w:rsidRPr="00AC1783">
        <w:rPr>
          <w:sz w:val="18"/>
          <w:szCs w:val="18"/>
        </w:rPr>
        <w:t xml:space="preserve"> </w:t>
      </w:r>
      <w:r>
        <w:rPr>
          <w:sz w:val="18"/>
          <w:szCs w:val="18"/>
        </w:rPr>
        <w:t>xxxx</w:t>
      </w:r>
      <w:r w:rsidR="00984464" w:rsidRPr="00AC1783">
        <w:rPr>
          <w:sz w:val="18"/>
          <w:szCs w:val="18"/>
        </w:rPr>
        <w:t xml:space="preserve">). </w:t>
      </w:r>
    </w:p>
    <w:p w:rsidR="00984464" w:rsidRDefault="00984464" w:rsidP="00984464">
      <w:pPr>
        <w:pStyle w:val="BodyText"/>
        <w:rPr>
          <w:i/>
          <w:szCs w:val="18"/>
          <w:u w:val="single"/>
        </w:rPr>
      </w:pPr>
    </w:p>
    <w:p w:rsidR="00984464" w:rsidRDefault="007F58CE" w:rsidP="00984464">
      <w:pPr>
        <w:ind w:left="450"/>
        <w:jc w:val="both"/>
        <w:rPr>
          <w:sz w:val="18"/>
          <w:szCs w:val="18"/>
        </w:rPr>
      </w:pPr>
      <w:r>
        <w:rPr>
          <w:sz w:val="18"/>
          <w:szCs w:val="18"/>
        </w:rPr>
        <w:t xml:space="preserve">Im Dezember </w:t>
      </w:r>
      <w:r w:rsidR="00984464">
        <w:rPr>
          <w:sz w:val="18"/>
          <w:szCs w:val="18"/>
        </w:rPr>
        <w:t>201</w:t>
      </w:r>
      <w:r w:rsidR="00DD2994">
        <w:rPr>
          <w:sz w:val="18"/>
          <w:szCs w:val="18"/>
        </w:rPr>
        <w:t>2</w:t>
      </w:r>
      <w:r w:rsidR="00984464">
        <w:rPr>
          <w:sz w:val="18"/>
          <w:szCs w:val="18"/>
        </w:rPr>
        <w:t xml:space="preserve"> </w:t>
      </w:r>
      <w:r>
        <w:rPr>
          <w:sz w:val="18"/>
          <w:szCs w:val="18"/>
        </w:rPr>
        <w:t xml:space="preserve">hat die Gesellschaft eine Entscheidung der Regierung der SR über die Zuteilung eines Zuschusses aus dem Staatshaushalt der Slowakischen Republik zur Finanzierung des Investitionsprojektes </w:t>
      </w:r>
      <w:r w:rsidR="00984464">
        <w:rPr>
          <w:sz w:val="18"/>
          <w:szCs w:val="18"/>
        </w:rPr>
        <w:t xml:space="preserve">xxxxx </w:t>
      </w:r>
      <w:r>
        <w:rPr>
          <w:sz w:val="18"/>
          <w:szCs w:val="18"/>
        </w:rPr>
        <w:t>i.H.v. EUR</w:t>
      </w:r>
      <w:r w:rsidR="00984464">
        <w:rPr>
          <w:sz w:val="18"/>
          <w:szCs w:val="18"/>
        </w:rPr>
        <w:t xml:space="preserve"> xxxx </w:t>
      </w:r>
      <w:r>
        <w:rPr>
          <w:sz w:val="18"/>
          <w:szCs w:val="18"/>
        </w:rPr>
        <w:t xml:space="preserve">während den nachfolgenden </w:t>
      </w:r>
      <w:r w:rsidR="00984464" w:rsidRPr="00B62EA2">
        <w:rPr>
          <w:sz w:val="18"/>
          <w:szCs w:val="18"/>
        </w:rPr>
        <w:t xml:space="preserve">10 </w:t>
      </w:r>
      <w:r>
        <w:rPr>
          <w:sz w:val="18"/>
          <w:szCs w:val="18"/>
        </w:rPr>
        <w:t>Jahren erhalten</w:t>
      </w:r>
      <w:r w:rsidR="00984464" w:rsidRPr="00B62EA2">
        <w:rPr>
          <w:sz w:val="18"/>
          <w:szCs w:val="18"/>
        </w:rPr>
        <w:t>.</w:t>
      </w:r>
      <w:r w:rsidR="00984464">
        <w:rPr>
          <w:sz w:val="18"/>
          <w:szCs w:val="18"/>
        </w:rPr>
        <w:t xml:space="preserve"> </w:t>
      </w:r>
      <w:r>
        <w:rPr>
          <w:sz w:val="18"/>
          <w:szCs w:val="18"/>
        </w:rPr>
        <w:t>Im Jahr</w:t>
      </w:r>
      <w:r w:rsidR="00984464" w:rsidRPr="00B62EA2">
        <w:rPr>
          <w:sz w:val="18"/>
          <w:szCs w:val="18"/>
        </w:rPr>
        <w:t xml:space="preserve"> </w:t>
      </w:r>
      <w:r w:rsidR="00984464">
        <w:rPr>
          <w:sz w:val="18"/>
          <w:szCs w:val="18"/>
        </w:rPr>
        <w:t>201</w:t>
      </w:r>
      <w:r w:rsidR="00DD2994">
        <w:rPr>
          <w:sz w:val="18"/>
          <w:szCs w:val="18"/>
        </w:rPr>
        <w:t>3</w:t>
      </w:r>
      <w:r w:rsidR="00984464">
        <w:rPr>
          <w:sz w:val="18"/>
          <w:szCs w:val="18"/>
        </w:rPr>
        <w:t xml:space="preserve"> </w:t>
      </w:r>
      <w:r>
        <w:rPr>
          <w:sz w:val="18"/>
          <w:szCs w:val="18"/>
        </w:rPr>
        <w:t xml:space="preserve">hat die Gesellschaft EUR </w:t>
      </w:r>
      <w:r w:rsidR="00984464">
        <w:rPr>
          <w:sz w:val="18"/>
          <w:szCs w:val="18"/>
        </w:rPr>
        <w:t xml:space="preserve">xxx </w:t>
      </w:r>
      <w:r>
        <w:rPr>
          <w:sz w:val="18"/>
          <w:szCs w:val="18"/>
        </w:rPr>
        <w:t>aus dem zugewiesenen Zuschuss in Anspruch genommen.</w:t>
      </w:r>
      <w:r w:rsidR="00984464">
        <w:rPr>
          <w:sz w:val="18"/>
          <w:szCs w:val="18"/>
        </w:rPr>
        <w:t xml:space="preserve"> </w:t>
      </w:r>
    </w:p>
    <w:p w:rsidR="00984464" w:rsidRDefault="00984464" w:rsidP="00984464">
      <w:pPr>
        <w:ind w:left="450"/>
        <w:jc w:val="both"/>
        <w:rPr>
          <w:sz w:val="18"/>
          <w:szCs w:val="18"/>
        </w:rPr>
      </w:pPr>
    </w:p>
    <w:p w:rsidR="00984464" w:rsidRDefault="007F58CE" w:rsidP="00984464">
      <w:pPr>
        <w:ind w:left="450"/>
        <w:jc w:val="both"/>
        <w:rPr>
          <w:sz w:val="18"/>
          <w:szCs w:val="18"/>
        </w:rPr>
      </w:pPr>
      <w:r>
        <w:rPr>
          <w:sz w:val="18"/>
          <w:szCs w:val="18"/>
        </w:rPr>
        <w:t>Im Jahr</w:t>
      </w:r>
      <w:r w:rsidR="00984464">
        <w:rPr>
          <w:sz w:val="18"/>
          <w:szCs w:val="18"/>
        </w:rPr>
        <w:t xml:space="preserve"> 201</w:t>
      </w:r>
      <w:r w:rsidR="00DD2994">
        <w:rPr>
          <w:sz w:val="18"/>
          <w:szCs w:val="18"/>
        </w:rPr>
        <w:t>3</w:t>
      </w:r>
      <w:r w:rsidR="00984464">
        <w:rPr>
          <w:sz w:val="18"/>
          <w:szCs w:val="18"/>
        </w:rPr>
        <w:t xml:space="preserve"> </w:t>
      </w:r>
      <w:r>
        <w:rPr>
          <w:sz w:val="18"/>
          <w:szCs w:val="18"/>
        </w:rPr>
        <w:t xml:space="preserve">hat die Gesellschaft von </w:t>
      </w:r>
      <w:r>
        <w:rPr>
          <w:i/>
          <w:sz w:val="18"/>
          <w:szCs w:val="18"/>
        </w:rPr>
        <w:t xml:space="preserve">dem Organ der öffentlichen Macht </w:t>
      </w:r>
      <w:r>
        <w:rPr>
          <w:sz w:val="18"/>
          <w:szCs w:val="18"/>
        </w:rPr>
        <w:t xml:space="preserve">(die Bezeichnung anzugeben) einen weiteren Zuschuss i.H.v. EUR </w:t>
      </w:r>
      <w:r w:rsidR="00984464">
        <w:rPr>
          <w:sz w:val="18"/>
          <w:szCs w:val="18"/>
        </w:rPr>
        <w:t>xx</w:t>
      </w:r>
      <w:r w:rsidR="00C57DDF">
        <w:rPr>
          <w:sz w:val="18"/>
          <w:szCs w:val="18"/>
        </w:rPr>
        <w:t xml:space="preserve"> in Anspruch genommen. </w:t>
      </w:r>
      <w:r>
        <w:rPr>
          <w:sz w:val="18"/>
          <w:szCs w:val="18"/>
        </w:rPr>
        <w:t xml:space="preserve"> Der genannte Zuschuss ist an keine Bedingungen gebunden. </w:t>
      </w:r>
      <w:r w:rsidR="00984464">
        <w:rPr>
          <w:sz w:val="18"/>
          <w:szCs w:val="18"/>
        </w:rPr>
        <w:t xml:space="preserve"> </w:t>
      </w:r>
    </w:p>
    <w:p w:rsidR="00984464" w:rsidRPr="00C15AAD" w:rsidRDefault="00984464" w:rsidP="00984464">
      <w:pPr>
        <w:ind w:left="450"/>
        <w:rPr>
          <w:sz w:val="18"/>
          <w:szCs w:val="18"/>
        </w:rPr>
      </w:pPr>
    </w:p>
    <w:p w:rsidR="00984464" w:rsidRPr="00C15AAD" w:rsidRDefault="00984464" w:rsidP="00984464">
      <w:pPr>
        <w:ind w:left="450"/>
        <w:rPr>
          <w:sz w:val="18"/>
          <w:szCs w:val="18"/>
        </w:rPr>
      </w:pPr>
    </w:p>
    <w:p w:rsidR="00984464" w:rsidRPr="00C15AAD" w:rsidRDefault="00984464" w:rsidP="00984464">
      <w:pPr>
        <w:rPr>
          <w:sz w:val="18"/>
          <w:szCs w:val="18"/>
        </w:rPr>
      </w:pPr>
    </w:p>
    <w:p w:rsidR="00984464" w:rsidRPr="00C15AAD" w:rsidRDefault="008C782B" w:rsidP="00984464">
      <w:pPr>
        <w:rPr>
          <w:sz w:val="18"/>
          <w:szCs w:val="18"/>
        </w:rPr>
      </w:pPr>
      <w:r w:rsidRPr="008C782B">
        <w:rPr>
          <w:b/>
          <w:caps/>
          <w:sz w:val="18"/>
          <w:szCs w:val="18"/>
        </w:rPr>
        <w:tab/>
      </w:r>
    </w:p>
    <w:p w:rsidR="00984464" w:rsidRPr="00C15AAD" w:rsidRDefault="00984464" w:rsidP="00984464">
      <w:pPr>
        <w:rPr>
          <w:b/>
          <w:caps/>
          <w:sz w:val="18"/>
          <w:szCs w:val="18"/>
        </w:rPr>
      </w:pPr>
    </w:p>
    <w:p w:rsidR="00984464" w:rsidRPr="00C15AAD" w:rsidRDefault="00984464" w:rsidP="00984464">
      <w:pPr>
        <w:ind w:left="426"/>
        <w:rPr>
          <w:sz w:val="18"/>
          <w:szCs w:val="18"/>
        </w:rPr>
      </w:pPr>
    </w:p>
    <w:p w:rsidR="00984464" w:rsidRPr="00C15AAD" w:rsidRDefault="00984464" w:rsidP="00984464">
      <w:pPr>
        <w:pStyle w:val="ListParagraph"/>
        <w:ind w:left="709" w:hanging="283"/>
        <w:rPr>
          <w:sz w:val="18"/>
          <w:szCs w:val="18"/>
        </w:rPr>
      </w:pPr>
    </w:p>
    <w:p w:rsidR="00984464" w:rsidRDefault="00984464" w:rsidP="00984464">
      <w:pPr>
        <w:spacing w:after="200" w:line="276" w:lineRule="auto"/>
        <w:rPr>
          <w:sz w:val="18"/>
          <w:szCs w:val="18"/>
        </w:rPr>
      </w:pPr>
      <w:r>
        <w:rPr>
          <w:sz w:val="18"/>
          <w:szCs w:val="18"/>
        </w:rPr>
        <w:br w:type="page"/>
      </w:r>
    </w:p>
    <w:p w:rsidR="00984464" w:rsidRDefault="00984464" w:rsidP="00984464">
      <w:pPr>
        <w:pStyle w:val="ListParagraph"/>
        <w:ind w:left="426"/>
        <w:rPr>
          <w:szCs w:val="18"/>
        </w:rPr>
      </w:pPr>
      <w:r>
        <w:rPr>
          <w:sz w:val="18"/>
          <w:szCs w:val="18"/>
        </w:rPr>
        <w:lastRenderedPageBreak/>
        <w:t>Inform</w:t>
      </w:r>
      <w:r w:rsidR="00720393">
        <w:rPr>
          <w:sz w:val="18"/>
          <w:szCs w:val="18"/>
        </w:rPr>
        <w:t xml:space="preserve">ationen über erhaltene Kredite, Kreditüberziehungen und über erhaltene Kapitalbeiträge. </w:t>
      </w:r>
      <w:r>
        <w:rPr>
          <w:sz w:val="18"/>
          <w:szCs w:val="18"/>
        </w:rPr>
        <w:t xml:space="preserve"> </w:t>
      </w:r>
    </w:p>
    <w:p w:rsidR="00720393" w:rsidRDefault="00252994" w:rsidP="00720393">
      <w:pPr>
        <w:pStyle w:val="BodyText"/>
        <w:rPr>
          <w:i/>
          <w:szCs w:val="18"/>
          <w:u w:val="single"/>
        </w:rPr>
      </w:pPr>
      <w:r>
        <w:rPr>
          <w:i/>
          <w:szCs w:val="18"/>
          <w:u w:val="single"/>
        </w:rPr>
        <w:t>(</w:t>
      </w:r>
      <w:r w:rsidR="00720393">
        <w:rPr>
          <w:i/>
          <w:szCs w:val="18"/>
          <w:u w:val="single"/>
        </w:rPr>
        <w:t>Die Form und die Art der Angabe der Informationen sind nicht vorgeschrieben. Diese Information ist zu löschen.</w:t>
      </w:r>
      <w:r>
        <w:rPr>
          <w:i/>
          <w:szCs w:val="18"/>
          <w:u w:val="single"/>
        </w:rPr>
        <w:t>)</w:t>
      </w:r>
    </w:p>
    <w:p w:rsidR="00984464" w:rsidRPr="00972CF6" w:rsidRDefault="00984464" w:rsidP="00984464">
      <w:pPr>
        <w:pStyle w:val="ListParagraph"/>
        <w:ind w:left="426"/>
        <w:rPr>
          <w:sz w:val="18"/>
          <w:szCs w:val="18"/>
        </w:rPr>
      </w:pPr>
    </w:p>
    <w:p w:rsidR="00984464" w:rsidRPr="00972CF6" w:rsidRDefault="00984464" w:rsidP="00984464">
      <w:pPr>
        <w:rPr>
          <w:b/>
          <w:caps/>
          <w:sz w:val="18"/>
          <w:szCs w:val="18"/>
        </w:rPr>
      </w:pPr>
    </w:p>
    <w:bookmarkStart w:id="91" w:name="_MON_1406099690"/>
    <w:bookmarkEnd w:id="91"/>
    <w:p w:rsidR="00984464" w:rsidRDefault="009D0D32" w:rsidP="00445BE5">
      <w:pPr>
        <w:tabs>
          <w:tab w:val="left" w:pos="8364"/>
        </w:tabs>
        <w:ind w:left="360" w:firstLine="66"/>
        <w:rPr>
          <w:b/>
          <w:caps/>
          <w:szCs w:val="18"/>
        </w:rPr>
      </w:pPr>
      <w:r w:rsidRPr="00FD4736">
        <w:object w:dxaOrig="8942" w:dyaOrig="4213">
          <v:shape id="_x0000_i1078" type="#_x0000_t75" style="width:438pt;height:231pt" o:ole="" o:preferrelative="f">
            <v:imagedata r:id="rId135" o:title=""/>
            <o:lock v:ext="edit" aspectratio="f"/>
          </v:shape>
          <o:OLEObject Type="Embed" ProgID="Excel.Sheet.12" ShapeID="_x0000_i1078" DrawAspect="Content" ObjectID="_1448991438" r:id="rId136"/>
        </w:object>
      </w:r>
    </w:p>
    <w:p w:rsidR="00984464" w:rsidRDefault="00445BE5" w:rsidP="00984464">
      <w:pPr>
        <w:ind w:left="450"/>
        <w:jc w:val="both"/>
        <w:rPr>
          <w:sz w:val="18"/>
          <w:szCs w:val="18"/>
        </w:rPr>
      </w:pPr>
      <w:r>
        <w:rPr>
          <w:sz w:val="18"/>
          <w:szCs w:val="18"/>
        </w:rPr>
        <w:t xml:space="preserve">Die einzelnen </w:t>
      </w:r>
      <w:r w:rsidR="00DF3439">
        <w:rPr>
          <w:sz w:val="18"/>
          <w:szCs w:val="18"/>
        </w:rPr>
        <w:t xml:space="preserve">Kredite und Beiträge wurden unter den folgenden Bedingungen gewährt </w:t>
      </w:r>
      <w:r w:rsidR="00404CD0">
        <w:rPr>
          <w:sz w:val="18"/>
          <w:szCs w:val="18"/>
        </w:rPr>
        <w:t xml:space="preserve">(nach den konkreten </w:t>
      </w:r>
      <w:r w:rsidR="002C7CAC">
        <w:rPr>
          <w:sz w:val="18"/>
          <w:szCs w:val="18"/>
        </w:rPr>
        <w:t>Bedingungen der Buchführungseinheit zu beschreiben</w:t>
      </w:r>
      <w:r w:rsidR="00984464" w:rsidRPr="00EE2450">
        <w:rPr>
          <w:sz w:val="18"/>
          <w:szCs w:val="18"/>
        </w:rPr>
        <w:t>):</w:t>
      </w:r>
    </w:p>
    <w:p w:rsidR="00984464" w:rsidRDefault="00984464" w:rsidP="00984464">
      <w:pPr>
        <w:ind w:left="450"/>
        <w:jc w:val="both"/>
        <w:rPr>
          <w:sz w:val="18"/>
          <w:szCs w:val="18"/>
        </w:rPr>
      </w:pPr>
    </w:p>
    <w:p w:rsidR="00984464" w:rsidRDefault="002C7CAC" w:rsidP="00984464">
      <w:pPr>
        <w:ind w:left="450"/>
        <w:jc w:val="both"/>
        <w:rPr>
          <w:sz w:val="18"/>
          <w:szCs w:val="18"/>
        </w:rPr>
      </w:pPr>
      <w:r>
        <w:rPr>
          <w:sz w:val="18"/>
          <w:szCs w:val="18"/>
        </w:rPr>
        <w:t xml:space="preserve">Die Garantie für den Kredit i.H.v. EUR </w:t>
      </w:r>
      <w:r w:rsidR="00984464" w:rsidRPr="00EE2450">
        <w:rPr>
          <w:sz w:val="18"/>
          <w:szCs w:val="18"/>
        </w:rPr>
        <w:t xml:space="preserve">xxx </w:t>
      </w:r>
      <w:r>
        <w:rPr>
          <w:sz w:val="18"/>
          <w:szCs w:val="18"/>
        </w:rPr>
        <w:t>für</w:t>
      </w:r>
      <w:r w:rsidR="00984464" w:rsidRPr="00EE2450">
        <w:rPr>
          <w:sz w:val="18"/>
          <w:szCs w:val="18"/>
        </w:rPr>
        <w:t xml:space="preserve"> (</w:t>
      </w:r>
      <w:r>
        <w:rPr>
          <w:sz w:val="18"/>
          <w:szCs w:val="18"/>
        </w:rPr>
        <w:t>den Zweck des Kredites anzugeben</w:t>
      </w:r>
      <w:r w:rsidR="00984464" w:rsidRPr="00EE2450">
        <w:rPr>
          <w:sz w:val="18"/>
          <w:szCs w:val="18"/>
        </w:rPr>
        <w:t xml:space="preserve">) </w:t>
      </w:r>
      <w:r>
        <w:rPr>
          <w:sz w:val="18"/>
          <w:szCs w:val="18"/>
        </w:rPr>
        <w:t xml:space="preserve">hat </w:t>
      </w:r>
      <w:r>
        <w:rPr>
          <w:i/>
          <w:sz w:val="18"/>
          <w:szCs w:val="18"/>
        </w:rPr>
        <w:t>das Organ der öffentlichen Macht</w:t>
      </w:r>
      <w:r w:rsidR="00984464" w:rsidRPr="00AC1783">
        <w:rPr>
          <w:i/>
          <w:sz w:val="18"/>
          <w:szCs w:val="18"/>
        </w:rPr>
        <w:t xml:space="preserve"> </w:t>
      </w:r>
      <w:r w:rsidR="00984464" w:rsidRPr="00EE2450">
        <w:rPr>
          <w:sz w:val="18"/>
          <w:szCs w:val="18"/>
        </w:rPr>
        <w:t>(</w:t>
      </w:r>
      <w:r>
        <w:rPr>
          <w:sz w:val="18"/>
          <w:szCs w:val="18"/>
        </w:rPr>
        <w:t>die Bezeichnung des Organs anzugeben</w:t>
      </w:r>
      <w:r w:rsidR="00984464" w:rsidRPr="00EE2450">
        <w:rPr>
          <w:sz w:val="18"/>
          <w:szCs w:val="18"/>
        </w:rPr>
        <w:t>)</w:t>
      </w:r>
      <w:r w:rsidR="00087815">
        <w:rPr>
          <w:sz w:val="18"/>
          <w:szCs w:val="18"/>
        </w:rPr>
        <w:t xml:space="preserve"> gewährt</w:t>
      </w:r>
      <w:r w:rsidR="00984464" w:rsidRPr="00EE2450">
        <w:rPr>
          <w:sz w:val="18"/>
          <w:szCs w:val="18"/>
        </w:rPr>
        <w:t>.</w:t>
      </w:r>
    </w:p>
    <w:p w:rsidR="00984464" w:rsidRDefault="00984464" w:rsidP="00984464">
      <w:pPr>
        <w:ind w:left="450"/>
        <w:jc w:val="both"/>
        <w:rPr>
          <w:sz w:val="18"/>
          <w:szCs w:val="18"/>
        </w:rPr>
      </w:pPr>
    </w:p>
    <w:p w:rsidR="00984464" w:rsidRDefault="0070250E" w:rsidP="00984464">
      <w:pPr>
        <w:ind w:left="426"/>
        <w:jc w:val="both"/>
        <w:rPr>
          <w:szCs w:val="18"/>
        </w:rPr>
      </w:pPr>
      <w:r>
        <w:rPr>
          <w:sz w:val="18"/>
          <w:szCs w:val="18"/>
        </w:rPr>
        <w:t xml:space="preserve">Aufgrund der Entscheidung der Hautversammlung wurden </w:t>
      </w:r>
      <w:r w:rsidR="008C782B" w:rsidRPr="008C782B">
        <w:rPr>
          <w:i/>
          <w:sz w:val="18"/>
          <w:szCs w:val="18"/>
        </w:rPr>
        <w:t>dem Organ der öffentlichen Macht</w:t>
      </w:r>
      <w:r>
        <w:rPr>
          <w:sz w:val="18"/>
          <w:szCs w:val="18"/>
        </w:rPr>
        <w:t xml:space="preserve"> (die Bezeichnung anzugeben) in Jahr </w:t>
      </w:r>
      <w:r w:rsidR="00984464">
        <w:rPr>
          <w:sz w:val="18"/>
          <w:szCs w:val="18"/>
        </w:rPr>
        <w:t>201</w:t>
      </w:r>
      <w:r w:rsidR="00E22776">
        <w:rPr>
          <w:sz w:val="18"/>
          <w:szCs w:val="18"/>
        </w:rPr>
        <w:t>3</w:t>
      </w:r>
      <w:r w:rsidR="00984464">
        <w:rPr>
          <w:sz w:val="18"/>
          <w:szCs w:val="18"/>
        </w:rPr>
        <w:t xml:space="preserve"> </w:t>
      </w:r>
      <w:r>
        <w:rPr>
          <w:sz w:val="18"/>
          <w:szCs w:val="18"/>
        </w:rPr>
        <w:t xml:space="preserve">die Dividenden i.H.v. EUR </w:t>
      </w:r>
      <w:r w:rsidR="00984464">
        <w:rPr>
          <w:sz w:val="18"/>
          <w:szCs w:val="18"/>
        </w:rPr>
        <w:t xml:space="preserve">xxx </w:t>
      </w:r>
      <w:r>
        <w:rPr>
          <w:sz w:val="18"/>
          <w:szCs w:val="18"/>
        </w:rPr>
        <w:t>ausgezahlt</w:t>
      </w:r>
      <w:r w:rsidR="00984464">
        <w:rPr>
          <w:sz w:val="18"/>
          <w:szCs w:val="18"/>
        </w:rPr>
        <w:t xml:space="preserve"> (201</w:t>
      </w:r>
      <w:r w:rsidR="00E22776">
        <w:rPr>
          <w:sz w:val="18"/>
          <w:szCs w:val="18"/>
        </w:rPr>
        <w:t>2</w:t>
      </w:r>
      <w:r w:rsidR="00984464">
        <w:rPr>
          <w:sz w:val="18"/>
          <w:szCs w:val="18"/>
        </w:rPr>
        <w:t xml:space="preserve">: </w:t>
      </w:r>
      <w:r>
        <w:rPr>
          <w:sz w:val="18"/>
          <w:szCs w:val="18"/>
        </w:rPr>
        <w:t xml:space="preserve">EUR </w:t>
      </w:r>
      <w:r w:rsidR="00984464">
        <w:rPr>
          <w:sz w:val="18"/>
          <w:szCs w:val="18"/>
        </w:rPr>
        <w:t xml:space="preserve">xxx). </w:t>
      </w:r>
      <w:r w:rsidR="00CC163D">
        <w:rPr>
          <w:sz w:val="18"/>
          <w:szCs w:val="18"/>
        </w:rPr>
        <w:t xml:space="preserve">Der Gewinnvortrag zum </w:t>
      </w:r>
      <w:r w:rsidR="00A71E0C">
        <w:rPr>
          <w:sz w:val="18"/>
          <w:szCs w:val="18"/>
        </w:rPr>
        <w:br/>
      </w:r>
      <w:r w:rsidR="00984464">
        <w:rPr>
          <w:sz w:val="18"/>
          <w:szCs w:val="18"/>
        </w:rPr>
        <w:t xml:space="preserve">31. </w:t>
      </w:r>
      <w:r w:rsidR="00CC163D">
        <w:rPr>
          <w:sz w:val="18"/>
          <w:szCs w:val="18"/>
        </w:rPr>
        <w:t xml:space="preserve">Dezember </w:t>
      </w:r>
      <w:r w:rsidR="00984464">
        <w:rPr>
          <w:sz w:val="18"/>
          <w:szCs w:val="18"/>
        </w:rPr>
        <w:t>201</w:t>
      </w:r>
      <w:r w:rsidR="00E22776">
        <w:rPr>
          <w:sz w:val="18"/>
          <w:szCs w:val="18"/>
        </w:rPr>
        <w:t>3</w:t>
      </w:r>
      <w:r w:rsidR="00CC163D">
        <w:rPr>
          <w:sz w:val="18"/>
          <w:szCs w:val="18"/>
        </w:rPr>
        <w:t xml:space="preserve">, der auf </w:t>
      </w:r>
      <w:r w:rsidR="008C782B" w:rsidRPr="008C782B">
        <w:rPr>
          <w:i/>
          <w:sz w:val="18"/>
          <w:szCs w:val="18"/>
        </w:rPr>
        <w:t xml:space="preserve">das Organ der öffentlichen Macht </w:t>
      </w:r>
      <w:r w:rsidR="00CC163D">
        <w:rPr>
          <w:sz w:val="18"/>
          <w:szCs w:val="18"/>
        </w:rPr>
        <w:t xml:space="preserve">(die Bezeichnung anzugeben) entfällt und in den nächsten Jahren noch ausgezahlt werden kann, beträgt EUR </w:t>
      </w:r>
      <w:r w:rsidR="00984464">
        <w:rPr>
          <w:sz w:val="18"/>
          <w:szCs w:val="18"/>
        </w:rPr>
        <w:t xml:space="preserve">xxx (31. </w:t>
      </w:r>
      <w:r w:rsidR="00CC163D">
        <w:rPr>
          <w:sz w:val="18"/>
          <w:szCs w:val="18"/>
        </w:rPr>
        <w:t>Dezember</w:t>
      </w:r>
      <w:r w:rsidR="00984464">
        <w:rPr>
          <w:sz w:val="18"/>
          <w:szCs w:val="18"/>
        </w:rPr>
        <w:t xml:space="preserve"> 201</w:t>
      </w:r>
      <w:r w:rsidR="00E22776">
        <w:rPr>
          <w:sz w:val="18"/>
          <w:szCs w:val="18"/>
        </w:rPr>
        <w:t>2</w:t>
      </w:r>
      <w:r w:rsidR="00984464">
        <w:rPr>
          <w:sz w:val="18"/>
          <w:szCs w:val="18"/>
        </w:rPr>
        <w:t xml:space="preserve">: </w:t>
      </w:r>
      <w:r w:rsidR="00CC163D">
        <w:rPr>
          <w:sz w:val="18"/>
          <w:szCs w:val="18"/>
        </w:rPr>
        <w:t>EUR xxx</w:t>
      </w:r>
      <w:r w:rsidR="00984464">
        <w:rPr>
          <w:sz w:val="18"/>
          <w:szCs w:val="18"/>
        </w:rPr>
        <w:t>).</w:t>
      </w:r>
    </w:p>
    <w:p w:rsidR="00984464" w:rsidRPr="00972CF6" w:rsidRDefault="00984464" w:rsidP="00984464">
      <w:pPr>
        <w:ind w:left="426"/>
        <w:jc w:val="both"/>
        <w:rPr>
          <w:b/>
          <w:caps/>
          <w:sz w:val="18"/>
          <w:szCs w:val="18"/>
        </w:rPr>
      </w:pPr>
    </w:p>
    <w:p w:rsidR="00984464" w:rsidRDefault="00CC163D" w:rsidP="00984464">
      <w:pPr>
        <w:ind w:left="426"/>
        <w:jc w:val="both"/>
        <w:rPr>
          <w:szCs w:val="18"/>
        </w:rPr>
      </w:pPr>
      <w:r>
        <w:rPr>
          <w:sz w:val="18"/>
          <w:szCs w:val="18"/>
        </w:rPr>
        <w:t xml:space="preserve">Aufgrund der Entscheidung (nach den konkreten Bedingungen einzufügen) vom (Datum) wurde der Gesellschaft die Verbindlichkeit gegenüber (zu ergänzen) aufgrund (den Grund der Entstehung der Verbindlichkeit zu ergänzen) i.H.v. EUR </w:t>
      </w:r>
      <w:r w:rsidR="00984464" w:rsidRPr="00AC1783">
        <w:rPr>
          <w:sz w:val="18"/>
          <w:szCs w:val="18"/>
        </w:rPr>
        <w:t xml:space="preserve">xx  </w:t>
      </w:r>
      <w:r>
        <w:rPr>
          <w:sz w:val="18"/>
          <w:szCs w:val="18"/>
        </w:rPr>
        <w:t>erlassen</w:t>
      </w:r>
      <w:r w:rsidR="00984464" w:rsidRPr="00AC1783">
        <w:rPr>
          <w:sz w:val="18"/>
          <w:szCs w:val="18"/>
        </w:rPr>
        <w:t xml:space="preserve">. </w:t>
      </w:r>
      <w:r>
        <w:rPr>
          <w:sz w:val="18"/>
          <w:szCs w:val="18"/>
        </w:rPr>
        <w:t xml:space="preserve">Der Grund für die Erlassung der Verbindlichkeit war </w:t>
      </w:r>
      <w:r w:rsidR="00984464" w:rsidRPr="00AC1783">
        <w:rPr>
          <w:sz w:val="18"/>
          <w:szCs w:val="18"/>
        </w:rPr>
        <w:t>(</w:t>
      </w:r>
      <w:r>
        <w:rPr>
          <w:sz w:val="18"/>
          <w:szCs w:val="18"/>
        </w:rPr>
        <w:t>nach den konkreten Bedingungen einzufügen</w:t>
      </w:r>
      <w:r w:rsidR="00984464" w:rsidRPr="00AC1783">
        <w:rPr>
          <w:sz w:val="18"/>
          <w:szCs w:val="18"/>
        </w:rPr>
        <w:t>).</w:t>
      </w:r>
    </w:p>
    <w:p w:rsidR="00984464" w:rsidRPr="00972CF6" w:rsidRDefault="00984464" w:rsidP="00984464">
      <w:pPr>
        <w:ind w:left="426"/>
        <w:jc w:val="both"/>
        <w:rPr>
          <w:sz w:val="18"/>
          <w:szCs w:val="18"/>
        </w:rPr>
      </w:pPr>
    </w:p>
    <w:p w:rsidR="00984464" w:rsidRDefault="00CC163D" w:rsidP="00984464">
      <w:pPr>
        <w:pStyle w:val="Heading1"/>
        <w:numPr>
          <w:ilvl w:val="0"/>
          <w:numId w:val="0"/>
        </w:numPr>
        <w:spacing w:before="120" w:after="60"/>
        <w:ind w:left="426"/>
        <w:jc w:val="both"/>
        <w:rPr>
          <w:b w:val="0"/>
          <w:caps w:val="0"/>
        </w:rPr>
      </w:pPr>
      <w:r>
        <w:rPr>
          <w:b w:val="0"/>
          <w:caps w:val="0"/>
        </w:rPr>
        <w:t xml:space="preserve">Die Informationen über finanzielle </w:t>
      </w:r>
      <w:r w:rsidR="008D499B">
        <w:rPr>
          <w:b w:val="0"/>
          <w:caps w:val="0"/>
        </w:rPr>
        <w:t>Beziehungen</w:t>
      </w:r>
      <w:r>
        <w:rPr>
          <w:b w:val="0"/>
          <w:caps w:val="0"/>
        </w:rPr>
        <w:t xml:space="preserve"> zwischen </w:t>
      </w:r>
      <w:r w:rsidR="008C782B" w:rsidRPr="008C782B">
        <w:rPr>
          <w:b w:val="0"/>
          <w:i/>
          <w:caps w:val="0"/>
        </w:rPr>
        <w:t>dem Organ der öffentlichen Macht</w:t>
      </w:r>
      <w:r>
        <w:rPr>
          <w:b w:val="0"/>
          <w:caps w:val="0"/>
        </w:rPr>
        <w:t xml:space="preserve"> und der Gesellschaft</w:t>
      </w:r>
      <w:r w:rsidR="0031515A">
        <w:rPr>
          <w:b w:val="0"/>
          <w:caps w:val="0"/>
        </w:rPr>
        <w:t xml:space="preserve">: </w:t>
      </w:r>
    </w:p>
    <w:p w:rsidR="00CC163D" w:rsidRDefault="00252994" w:rsidP="00CC163D">
      <w:pPr>
        <w:pStyle w:val="BodyText"/>
        <w:rPr>
          <w:i/>
          <w:szCs w:val="18"/>
          <w:u w:val="single"/>
        </w:rPr>
      </w:pPr>
      <w:r>
        <w:rPr>
          <w:i/>
          <w:szCs w:val="18"/>
          <w:u w:val="single"/>
        </w:rPr>
        <w:t>(</w:t>
      </w:r>
      <w:r w:rsidR="00CC163D">
        <w:rPr>
          <w:i/>
          <w:szCs w:val="18"/>
          <w:u w:val="single"/>
        </w:rPr>
        <w:t>Die Form und die Art der Angabe der Informati</w:t>
      </w:r>
      <w:r w:rsidR="00E7678A">
        <w:rPr>
          <w:i/>
          <w:szCs w:val="18"/>
          <w:u w:val="single"/>
        </w:rPr>
        <w:t>onen sind nicht vorgeschrieben.</w:t>
      </w:r>
      <w:r w:rsidR="00CC163D">
        <w:rPr>
          <w:i/>
          <w:szCs w:val="18"/>
          <w:u w:val="single"/>
        </w:rPr>
        <w:t xml:space="preserve"> Diese Information ist zu löschen.</w:t>
      </w:r>
      <w:r>
        <w:rPr>
          <w:i/>
          <w:szCs w:val="18"/>
          <w:u w:val="single"/>
        </w:rPr>
        <w:t>)</w:t>
      </w:r>
    </w:p>
    <w:bookmarkStart w:id="92" w:name="_MON_1406096943"/>
    <w:bookmarkEnd w:id="92"/>
    <w:p w:rsidR="00984464" w:rsidRDefault="00E22776" w:rsidP="00984464">
      <w:pPr>
        <w:pStyle w:val="Heading1"/>
        <w:numPr>
          <w:ilvl w:val="0"/>
          <w:numId w:val="0"/>
        </w:numPr>
        <w:spacing w:before="120" w:after="60"/>
        <w:ind w:left="360"/>
      </w:pPr>
      <w:r>
        <w:object w:dxaOrig="9005" w:dyaOrig="3060">
          <v:shape id="_x0000_i1079" type="#_x0000_t75" style="width:438.75pt;height:166.5pt" o:ole="" o:preferrelative="f">
            <v:imagedata r:id="rId137" o:title=""/>
            <o:lock v:ext="edit" aspectratio="f"/>
          </v:shape>
          <o:OLEObject Type="Embed" ProgID="Excel.Sheet.12" ShapeID="_x0000_i1079" DrawAspect="Content" ObjectID="_1448991439" r:id="rId138"/>
        </w:object>
      </w:r>
    </w:p>
    <w:p w:rsidR="00984464" w:rsidRPr="00972CF6" w:rsidRDefault="00984464" w:rsidP="00984464">
      <w:pPr>
        <w:pStyle w:val="Heading1"/>
        <w:numPr>
          <w:ilvl w:val="0"/>
          <w:numId w:val="0"/>
        </w:numPr>
        <w:spacing w:before="120" w:after="60"/>
        <w:ind w:left="360"/>
        <w:rPr>
          <w:szCs w:val="18"/>
        </w:rPr>
      </w:pPr>
    </w:p>
    <w:p w:rsidR="00984464" w:rsidRPr="00972CF6" w:rsidRDefault="008C782B" w:rsidP="00984464">
      <w:pPr>
        <w:spacing w:after="200" w:line="276" w:lineRule="auto"/>
        <w:rPr>
          <w:b/>
          <w:caps/>
          <w:sz w:val="18"/>
          <w:szCs w:val="18"/>
        </w:rPr>
      </w:pPr>
      <w:r w:rsidRPr="008C782B">
        <w:rPr>
          <w:sz w:val="18"/>
          <w:szCs w:val="18"/>
        </w:rPr>
        <w:br w:type="page"/>
      </w:r>
    </w:p>
    <w:p w:rsidR="00984464" w:rsidRDefault="00984464" w:rsidP="00984464">
      <w:pPr>
        <w:pStyle w:val="Heading1"/>
        <w:tabs>
          <w:tab w:val="clear" w:pos="450"/>
          <w:tab w:val="num" w:pos="360"/>
        </w:tabs>
        <w:spacing w:before="120" w:after="60"/>
        <w:ind w:left="360"/>
      </w:pPr>
      <w:r>
        <w:lastRenderedPageBreak/>
        <w:t>inform</w:t>
      </w:r>
      <w:r w:rsidR="00150B96">
        <w:t>ATIONEN DER BUCHFÜHRUNGSEINHEITEN, DE</w:t>
      </w:r>
      <w:r w:rsidR="008D499B">
        <w:t>NEN EIN ALLEINIGES ODER BESONDER</w:t>
      </w:r>
      <w:r w:rsidR="00150B96">
        <w:t xml:space="preserve">ES RECHT ERTEILT WURDE UND DER BUCHFÜHRUNGSEINHEITEN, DENEN DAS RECHT AUF ERBRINGUNG DER DIENSTLEISTUNGEN IM ÖFFENTLICHEN INTERESSE ERTEILT WURDE </w:t>
      </w:r>
    </w:p>
    <w:p w:rsidR="00984464" w:rsidRPr="00972CF6" w:rsidRDefault="00984464" w:rsidP="00984464">
      <w:pPr>
        <w:rPr>
          <w:sz w:val="18"/>
          <w:szCs w:val="18"/>
        </w:rPr>
      </w:pPr>
    </w:p>
    <w:p w:rsidR="00984464" w:rsidRDefault="00F75A6A" w:rsidP="00984464">
      <w:pPr>
        <w:pStyle w:val="Heading1"/>
        <w:numPr>
          <w:ilvl w:val="0"/>
          <w:numId w:val="0"/>
        </w:numPr>
        <w:spacing w:before="120" w:after="60"/>
        <w:ind w:left="709" w:hanging="349"/>
        <w:rPr>
          <w:b w:val="0"/>
          <w:caps w:val="0"/>
        </w:rPr>
      </w:pPr>
      <w:r>
        <w:rPr>
          <w:b w:val="0"/>
          <w:caps w:val="0"/>
        </w:rPr>
        <w:t>Es sind die Informationen über Folgendes anzugeben</w:t>
      </w:r>
      <w:r w:rsidR="00984464">
        <w:rPr>
          <w:b w:val="0"/>
          <w:caps w:val="0"/>
        </w:rPr>
        <w:t>:</w:t>
      </w:r>
    </w:p>
    <w:p w:rsidR="00CC163D" w:rsidRDefault="00252994" w:rsidP="00CC163D">
      <w:pPr>
        <w:pStyle w:val="BodyText"/>
        <w:rPr>
          <w:i/>
          <w:szCs w:val="18"/>
          <w:u w:val="single"/>
        </w:rPr>
      </w:pPr>
      <w:r>
        <w:rPr>
          <w:i/>
          <w:szCs w:val="18"/>
          <w:u w:val="single"/>
        </w:rPr>
        <w:t>(</w:t>
      </w:r>
      <w:r w:rsidR="00CC163D">
        <w:rPr>
          <w:i/>
          <w:szCs w:val="18"/>
          <w:u w:val="single"/>
        </w:rPr>
        <w:t>Die Form und die Art der Angabe der Informat</w:t>
      </w:r>
      <w:r w:rsidR="00F75A6A">
        <w:rPr>
          <w:i/>
          <w:szCs w:val="18"/>
          <w:u w:val="single"/>
        </w:rPr>
        <w:t>ionen sind nicht vorgeschrieben</w:t>
      </w:r>
      <w:r w:rsidR="00CC163D">
        <w:rPr>
          <w:i/>
          <w:szCs w:val="18"/>
          <w:u w:val="single"/>
        </w:rPr>
        <w:t>. Diese Information ist zu löschen.</w:t>
      </w:r>
      <w:r>
        <w:rPr>
          <w:i/>
          <w:szCs w:val="18"/>
          <w:u w:val="single"/>
        </w:rPr>
        <w:t>)</w:t>
      </w:r>
    </w:p>
    <w:p w:rsidR="00CC163D" w:rsidRPr="00AA10BB" w:rsidRDefault="00CC163D" w:rsidP="00CC163D">
      <w:pPr>
        <w:pStyle w:val="BodyText"/>
        <w:rPr>
          <w:lang w:val="de-DE"/>
        </w:rPr>
      </w:pPr>
    </w:p>
    <w:p w:rsidR="00984464" w:rsidRDefault="00F75A6A" w:rsidP="00984464">
      <w:pPr>
        <w:pStyle w:val="Heading1"/>
        <w:numPr>
          <w:ilvl w:val="0"/>
          <w:numId w:val="5"/>
        </w:numPr>
        <w:spacing w:before="120" w:after="60"/>
        <w:ind w:left="709" w:hanging="349"/>
        <w:rPr>
          <w:b w:val="0"/>
          <w:caps w:val="0"/>
        </w:rPr>
      </w:pPr>
      <w:r>
        <w:rPr>
          <w:b w:val="0"/>
          <w:caps w:val="0"/>
        </w:rPr>
        <w:t>alle Formen der erhaltenen Erstattung</w:t>
      </w:r>
      <w:r w:rsidR="00984464">
        <w:rPr>
          <w:b w:val="0"/>
          <w:caps w:val="0"/>
        </w:rPr>
        <w:t>,</w:t>
      </w:r>
    </w:p>
    <w:p w:rsidR="00984464" w:rsidRDefault="00F75A6A" w:rsidP="00984464">
      <w:pPr>
        <w:pStyle w:val="Heading1"/>
        <w:numPr>
          <w:ilvl w:val="0"/>
          <w:numId w:val="5"/>
        </w:numPr>
        <w:spacing w:before="120" w:after="60"/>
        <w:ind w:left="709" w:hanging="349"/>
        <w:rPr>
          <w:b w:val="0"/>
          <w:caps w:val="0"/>
        </w:rPr>
      </w:pPr>
      <w:r>
        <w:rPr>
          <w:b w:val="0"/>
          <w:caps w:val="0"/>
        </w:rPr>
        <w:t xml:space="preserve">bei der Zuordnung der Aufwendungen und Erträge verwendete </w:t>
      </w:r>
      <w:r w:rsidR="00941667">
        <w:rPr>
          <w:b w:val="0"/>
          <w:caps w:val="0"/>
        </w:rPr>
        <w:t>Rechnungslegun</w:t>
      </w:r>
      <w:r w:rsidR="001D6DC7" w:rsidRPr="00941667">
        <w:rPr>
          <w:b w:val="0"/>
          <w:caps w:val="0"/>
        </w:rPr>
        <w:t>gsgrundsätze</w:t>
      </w:r>
      <w:r w:rsidR="00A71E0C">
        <w:rPr>
          <w:b w:val="0"/>
          <w:caps w:val="0"/>
        </w:rPr>
        <w:t>,</w:t>
      </w:r>
      <w:r>
        <w:rPr>
          <w:b w:val="0"/>
          <w:caps w:val="0"/>
        </w:rPr>
        <w:t xml:space="preserve"> </w:t>
      </w:r>
    </w:p>
    <w:p w:rsidR="00984464" w:rsidRDefault="00F75A6A" w:rsidP="00984464">
      <w:pPr>
        <w:pStyle w:val="Heading1"/>
        <w:numPr>
          <w:ilvl w:val="0"/>
          <w:numId w:val="5"/>
        </w:numPr>
        <w:spacing w:before="120" w:after="60"/>
        <w:ind w:left="709" w:hanging="349"/>
        <w:rPr>
          <w:b w:val="0"/>
          <w:caps w:val="0"/>
        </w:rPr>
      </w:pPr>
      <w:r>
        <w:rPr>
          <w:b w:val="0"/>
          <w:caps w:val="0"/>
        </w:rPr>
        <w:t>die Organisationsstruktur der Buchführungseinheit und einzelne Tätigkeiten</w:t>
      </w:r>
      <w:r w:rsidR="00A71E0C">
        <w:rPr>
          <w:b w:val="0"/>
          <w:caps w:val="0"/>
        </w:rPr>
        <w:t>,</w:t>
      </w:r>
    </w:p>
    <w:p w:rsidR="00984464" w:rsidRDefault="00F75A6A" w:rsidP="00984464">
      <w:pPr>
        <w:pStyle w:val="Heading1"/>
        <w:numPr>
          <w:ilvl w:val="0"/>
          <w:numId w:val="5"/>
        </w:numPr>
        <w:spacing w:before="120" w:after="60"/>
        <w:ind w:left="709" w:hanging="349"/>
        <w:rPr>
          <w:b w:val="0"/>
          <w:caps w:val="0"/>
        </w:rPr>
      </w:pPr>
      <w:r>
        <w:rPr>
          <w:b w:val="0"/>
          <w:caps w:val="0"/>
        </w:rPr>
        <w:t>alle Formen der Tätigkeiten der Buchführungseinheit</w:t>
      </w:r>
      <w:r w:rsidR="00984464" w:rsidRPr="00AC1783">
        <w:rPr>
          <w:b w:val="0"/>
          <w:caps w:val="0"/>
        </w:rPr>
        <w:t>.</w:t>
      </w:r>
    </w:p>
    <w:p w:rsidR="00F01166" w:rsidRDefault="00984464">
      <w:pPr>
        <w:pStyle w:val="Heading1"/>
        <w:numPr>
          <w:ilvl w:val="0"/>
          <w:numId w:val="5"/>
        </w:numPr>
        <w:spacing w:before="120" w:after="60"/>
        <w:ind w:left="0"/>
        <w:rPr>
          <w:highlight w:val="yellow"/>
        </w:rPr>
      </w:pPr>
      <w:r w:rsidRPr="00AC1783">
        <w:rPr>
          <w:b w:val="0"/>
          <w:caps w:val="0"/>
        </w:rPr>
        <w:br w:type="page"/>
      </w:r>
    </w:p>
    <w:p w:rsidR="00301C73" w:rsidRPr="00CA1B1A" w:rsidRDefault="00C17A50" w:rsidP="00301C73">
      <w:pPr>
        <w:pStyle w:val="Heading1"/>
        <w:rPr>
          <w:lang w:val="de-DE"/>
        </w:rPr>
      </w:pPr>
      <w:bookmarkStart w:id="93" w:name="_Toc530739926"/>
      <w:r>
        <w:rPr>
          <w:lang w:val="de-DE"/>
        </w:rPr>
        <w:lastRenderedPageBreak/>
        <w:t xml:space="preserve">KAPITALFLUSSRECHNUNG ZUM 31. deZEMBER </w:t>
      </w:r>
      <w:bookmarkEnd w:id="93"/>
      <w:r>
        <w:rPr>
          <w:lang w:val="de-DE"/>
        </w:rPr>
        <w:t>201</w:t>
      </w:r>
      <w:r w:rsidR="00E22776">
        <w:rPr>
          <w:lang w:val="de-DE"/>
        </w:rPr>
        <w:t>3</w:t>
      </w:r>
    </w:p>
    <w:p w:rsidR="00301C73" w:rsidRPr="007919FF" w:rsidRDefault="00301C73" w:rsidP="00301C73">
      <w:pPr>
        <w:rPr>
          <w:lang w:val="de-DE"/>
        </w:rPr>
      </w:pPr>
    </w:p>
    <w:bookmarkStart w:id="94" w:name="_MON_1410447080"/>
    <w:bookmarkEnd w:id="94"/>
    <w:p w:rsidR="00301C73" w:rsidRPr="009947C9" w:rsidRDefault="00CB30DF" w:rsidP="00301C73">
      <w:pPr>
        <w:pStyle w:val="BodyText"/>
        <w:ind w:right="-1"/>
        <w:rPr>
          <w:lang w:val="de-DE"/>
        </w:rPr>
      </w:pPr>
      <w:r>
        <w:object w:dxaOrig="8990" w:dyaOrig="9789">
          <v:shape id="_x0000_i1080" type="#_x0000_t75" style="width:435.75pt;height:528.75pt" o:ole="" o:preferrelative="f">
            <v:imagedata r:id="rId139" o:title=""/>
            <o:lock v:ext="edit" aspectratio="f"/>
          </v:shape>
          <o:OLEObject Type="Embed" ProgID="Excel.Sheet.12" ShapeID="_x0000_i1080" DrawAspect="Content" ObjectID="_1448991440" r:id="rId140"/>
        </w:object>
      </w:r>
    </w:p>
    <w:p w:rsidR="00301C73" w:rsidRPr="00561333" w:rsidRDefault="00301C73" w:rsidP="00301C73">
      <w:pPr>
        <w:pStyle w:val="BodyText"/>
        <w:rPr>
          <w:b/>
          <w:highlight w:val="yellow"/>
          <w:lang w:val="de-DE"/>
        </w:rPr>
      </w:pPr>
    </w:p>
    <w:p w:rsidR="00301C73" w:rsidRPr="00775BCC" w:rsidRDefault="00301C73" w:rsidP="00301C73">
      <w:pPr>
        <w:pStyle w:val="BodyText"/>
        <w:rPr>
          <w:b/>
          <w:lang w:val="de-DE"/>
        </w:rPr>
      </w:pPr>
      <w:r w:rsidRPr="00561333">
        <w:rPr>
          <w:b/>
          <w:highlight w:val="yellow"/>
          <w:lang w:val="de-DE"/>
        </w:rPr>
        <w:br w:type="page"/>
      </w:r>
      <w:r w:rsidRPr="00775BCC">
        <w:rPr>
          <w:b/>
          <w:lang w:val="de-DE"/>
        </w:rPr>
        <w:lastRenderedPageBreak/>
        <w:t>Aus betrieblicher Geschäftstätigkeit erwirtschaftete Zahlungsmittel</w:t>
      </w:r>
    </w:p>
    <w:p w:rsidR="00301C73" w:rsidRPr="00775BCC" w:rsidRDefault="00301C73" w:rsidP="00301C73">
      <w:pPr>
        <w:pStyle w:val="BodyText"/>
        <w:rPr>
          <w:b/>
          <w:lang w:val="de-DE"/>
        </w:rPr>
      </w:pPr>
    </w:p>
    <w:bookmarkStart w:id="95" w:name="_MON_1410418290"/>
    <w:bookmarkEnd w:id="95"/>
    <w:p w:rsidR="000A6FBA" w:rsidRPr="00775BCC" w:rsidRDefault="00CB30DF" w:rsidP="000A6FBA">
      <w:pPr>
        <w:pStyle w:val="BodyText"/>
        <w:ind w:right="-1"/>
        <w:rPr>
          <w:lang w:val="de-DE"/>
        </w:rPr>
      </w:pPr>
      <w:r>
        <w:object w:dxaOrig="9103" w:dyaOrig="7843">
          <v:shape id="_x0000_i1081" type="#_x0000_t75" style="width:435.75pt;height:419.25pt" o:ole="" o:preferrelative="f">
            <v:imagedata r:id="rId141" o:title=""/>
            <o:lock v:ext="edit" aspectratio="f"/>
          </v:shape>
          <o:OLEObject Type="Embed" ProgID="Excel.Sheet.12" ShapeID="_x0000_i1081" DrawAspect="Content" ObjectID="_1448991441" r:id="rId142"/>
        </w:object>
      </w:r>
    </w:p>
    <w:p w:rsidR="000A6FBA" w:rsidRPr="00561333" w:rsidRDefault="000A6FBA" w:rsidP="000A6FBA">
      <w:pPr>
        <w:pStyle w:val="BodyText"/>
        <w:ind w:left="0"/>
        <w:rPr>
          <w:highlight w:val="yellow"/>
          <w:lang w:val="de-DE"/>
        </w:rPr>
      </w:pPr>
    </w:p>
    <w:p w:rsidR="000A6FBA" w:rsidRPr="00775BCC" w:rsidRDefault="000A6FBA" w:rsidP="000A6FBA">
      <w:pPr>
        <w:pStyle w:val="BodyText"/>
        <w:rPr>
          <w:b/>
          <w:lang w:val="de-DE"/>
        </w:rPr>
      </w:pPr>
      <w:r w:rsidRPr="00775BCC">
        <w:rPr>
          <w:b/>
          <w:lang w:val="de-DE"/>
        </w:rPr>
        <w:t>Zahlungsmittel</w:t>
      </w:r>
    </w:p>
    <w:p w:rsidR="000A6FBA" w:rsidRPr="00775BCC" w:rsidRDefault="000A6FBA" w:rsidP="000A6FBA">
      <w:pPr>
        <w:pStyle w:val="BodyText"/>
        <w:rPr>
          <w:b/>
          <w:lang w:val="de-DE"/>
        </w:rPr>
      </w:pPr>
    </w:p>
    <w:p w:rsidR="000A6FBA" w:rsidRPr="00775BCC" w:rsidRDefault="000A6FBA" w:rsidP="000A6FBA">
      <w:pPr>
        <w:pStyle w:val="BodyText"/>
        <w:rPr>
          <w:lang w:val="de-DE"/>
        </w:rPr>
      </w:pPr>
      <w:r w:rsidRPr="003D5959">
        <w:rPr>
          <w:lang w:val="de-DE"/>
        </w:rPr>
        <w:t>Als Zahlungsmittel (engl. cash) gelten alle Barmittel, Äquivalente der Barmittel</w:t>
      </w:r>
      <w:r>
        <w:rPr>
          <w:lang w:val="de-DE"/>
        </w:rPr>
        <w:t>,</w:t>
      </w:r>
      <w:r w:rsidRPr="00775BCC">
        <w:rPr>
          <w:lang w:val="de-DE"/>
        </w:rPr>
        <w:t xml:space="preserve"> Zahlungsmittel auf laufenden Konten bei Banken, Kontokorrentkonten und ein Teil des Saldos des Kontos der unterwegs befindlichen Gelder, der mit der Überweisung zwischen einem laufenden Konto und der Kasse oder zwischen zwei Bankkonten verbunden ist. </w:t>
      </w:r>
    </w:p>
    <w:p w:rsidR="000A6FBA" w:rsidRPr="00775BCC" w:rsidRDefault="000A6FBA" w:rsidP="000A6FBA">
      <w:pPr>
        <w:pStyle w:val="BodyText"/>
        <w:rPr>
          <w:lang w:val="de-DE"/>
        </w:rPr>
      </w:pPr>
    </w:p>
    <w:p w:rsidR="000A6FBA" w:rsidRPr="00775BCC" w:rsidRDefault="000A6FBA" w:rsidP="000A6FBA">
      <w:pPr>
        <w:pStyle w:val="BodyText"/>
        <w:rPr>
          <w:b/>
          <w:lang w:val="de-DE"/>
        </w:rPr>
      </w:pPr>
      <w:r w:rsidRPr="00775BCC">
        <w:rPr>
          <w:b/>
          <w:lang w:val="de-DE"/>
        </w:rPr>
        <w:t>Zahlungsmitteläquivalente</w:t>
      </w:r>
    </w:p>
    <w:p w:rsidR="000A6FBA" w:rsidRPr="00775BCC" w:rsidRDefault="000A6FBA" w:rsidP="000A6FBA">
      <w:pPr>
        <w:pStyle w:val="BodyText"/>
        <w:rPr>
          <w:lang w:val="de-DE"/>
        </w:rPr>
      </w:pPr>
    </w:p>
    <w:p w:rsidR="000A6FBA" w:rsidRDefault="000A6FBA" w:rsidP="000A6FBA">
      <w:pPr>
        <w:pStyle w:val="BodyText"/>
        <w:rPr>
          <w:lang w:val="de-DE"/>
        </w:rPr>
      </w:pPr>
      <w:r w:rsidRPr="00775BCC">
        <w:rPr>
          <w:lang w:val="de-DE"/>
        </w:rPr>
        <w:t>Als Zahlungsmitteläquivalente (engl. cash equivalents) g</w:t>
      </w:r>
      <w:r>
        <w:rPr>
          <w:lang w:val="de-DE"/>
        </w:rPr>
        <w:t>elten</w:t>
      </w:r>
      <w:r w:rsidRPr="00775BCC">
        <w:rPr>
          <w:lang w:val="de-DE"/>
        </w:rPr>
        <w:t xml:space="preserve"> kurzfristiges Finanzvermögen, das in einen vorher bekannten Betrag der Zahlungsmittel umgewandelt werden kann und in den dem Bilanzstichtag nächstliegenden drei Monaten nur unwesentlichen Wertschwankungsrisiken unterliegt, z.B. Termineinlagen auf Bankkonten, die höchstens mit einer dreimonatigen Kündigungsfrist eingelegt sind, zum Handel bestimmte liquide Wertpapiere, von der Buchführungseinheit angeschaffte Vorzugsaktien, die innerhalb von drei Monaten ab dem Bilanzstichtag fällig sind. </w:t>
      </w:r>
    </w:p>
    <w:p w:rsidR="000A6FBA" w:rsidRDefault="000A6FBA" w:rsidP="000A6FBA">
      <w:pPr>
        <w:pStyle w:val="BodyText"/>
        <w:rPr>
          <w:lang w:val="de-DE"/>
        </w:rPr>
      </w:pPr>
    </w:p>
    <w:p w:rsidR="000A6FBA" w:rsidRDefault="000A6FBA" w:rsidP="000A6FBA">
      <w:pPr>
        <w:pStyle w:val="BodyText"/>
        <w:rPr>
          <w:lang w:val="de-DE"/>
        </w:rPr>
      </w:pPr>
    </w:p>
    <w:p w:rsidR="000A6FBA" w:rsidRDefault="000A6FBA" w:rsidP="000A6FBA">
      <w:pPr>
        <w:pStyle w:val="BodyText"/>
        <w:rPr>
          <w:lang w:val="de-DE"/>
        </w:rPr>
      </w:pPr>
    </w:p>
    <w:p w:rsidR="00F70C00" w:rsidRPr="00F70C00" w:rsidRDefault="00F70C00" w:rsidP="00F70C00"/>
    <w:p w:rsidR="00F70C00" w:rsidRPr="00F70C00" w:rsidRDefault="00F70C00" w:rsidP="00F70C00"/>
    <w:p w:rsidR="00F70C00" w:rsidRPr="00F70C00" w:rsidRDefault="00F70C00" w:rsidP="00F70C00"/>
    <w:sectPr w:rsidR="00F70C00" w:rsidRPr="00F70C00" w:rsidSect="00AC0D5A">
      <w:headerReference w:type="default" r:id="rId143"/>
      <w:headerReference w:type="first" r:id="rId144"/>
      <w:type w:val="continuous"/>
      <w:pgSz w:w="11906" w:h="16838" w:code="9"/>
      <w:pgMar w:top="1701" w:right="1021" w:bottom="1418" w:left="1673" w:header="675"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CA" w:rsidRDefault="00C578CA" w:rsidP="00E95128">
      <w:r>
        <w:separator/>
      </w:r>
    </w:p>
  </w:endnote>
  <w:endnote w:type="continuationSeparator" w:id="0">
    <w:p w:rsidR="00C578CA" w:rsidRDefault="00C578CA" w:rsidP="00E95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KPMG Logo">
    <w:panose1 w:val="05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Pr="000D3235" w:rsidRDefault="00860DA4" w:rsidP="000658BA">
    <w:pPr>
      <w:tabs>
        <w:tab w:val="right" w:pos="9214"/>
      </w:tabs>
      <w:autoSpaceDE w:val="0"/>
      <w:autoSpaceDN w:val="0"/>
      <w:adjustRightInd w:val="0"/>
      <w:rPr>
        <w:rStyle w:val="PageNumber"/>
        <w:sz w:val="16"/>
        <w:szCs w:val="16"/>
      </w:rPr>
    </w:pPr>
    <w:r w:rsidRPr="000D3235">
      <w:rPr>
        <w:rStyle w:val="PageNumber"/>
        <w:b/>
      </w:rPr>
      <w:fldChar w:fldCharType="begin"/>
    </w:r>
    <w:r w:rsidRPr="000D3235">
      <w:rPr>
        <w:rStyle w:val="PageNumber"/>
        <w:b/>
      </w:rPr>
      <w:instrText xml:space="preserve"> PAGE </w:instrText>
    </w:r>
    <w:r w:rsidRPr="000D3235">
      <w:rPr>
        <w:rStyle w:val="PageNumber"/>
        <w:b/>
      </w:rPr>
      <w:fldChar w:fldCharType="separate"/>
    </w:r>
    <w:r>
      <w:rPr>
        <w:rStyle w:val="PageNumber"/>
        <w:b/>
        <w:noProof/>
      </w:rPr>
      <w:t>1</w:t>
    </w:r>
    <w:r w:rsidRPr="000D3235">
      <w:rPr>
        <w:rStyle w:val="PageNumber"/>
        <w:b/>
      </w:rPr>
      <w:fldChar w:fldCharType="end"/>
    </w:r>
    <w:r w:rsidRPr="000D3235">
      <w:rPr>
        <w:rStyle w:val="PageNumber"/>
        <w:sz w:val="16"/>
        <w:szCs w:val="16"/>
      </w:rPr>
      <w:tab/>
    </w:r>
    <w:r w:rsidRPr="000D3235">
      <w:rPr>
        <w:sz w:val="16"/>
        <w:szCs w:val="16"/>
        <w:lang w:val="de-DE"/>
      </w:rPr>
      <w:t>© 2006 KPMG Slovensko, spol. s r.o. Alle Rechte vorbehalten</w:t>
    </w:r>
    <w:r w:rsidRPr="000D3235">
      <w:rPr>
        <w:sz w:val="16"/>
        <w:szCs w:val="16"/>
      </w:rPr>
      <w:t>. Gedruckt in der Slowakei.</w:t>
    </w:r>
  </w:p>
  <w:p w:rsidR="00860DA4" w:rsidRPr="000D3235" w:rsidRDefault="00860DA4" w:rsidP="000658BA">
    <w:pPr>
      <w:autoSpaceDE w:val="0"/>
      <w:autoSpaceDN w:val="0"/>
      <w:adjustRightInd w:val="0"/>
      <w:rPr>
        <w:sz w:val="16"/>
        <w:szCs w:val="16"/>
      </w:rPr>
    </w:pPr>
  </w:p>
  <w:p w:rsidR="00860DA4" w:rsidRPr="000D3235" w:rsidRDefault="00860DA4">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F70C00">
    <w:pPr>
      <w:pStyle w:val="Footer"/>
      <w:tabs>
        <w:tab w:val="clear" w:pos="9072"/>
        <w:tab w:val="right" w:pos="9214"/>
      </w:tabs>
    </w:pPr>
    <w:r w:rsidRPr="00E95128">
      <w:rPr>
        <w:sz w:val="16"/>
        <w:szCs w:val="16"/>
        <w:lang w:val="de-DE"/>
      </w:rPr>
      <w:t>© 201</w:t>
    </w:r>
    <w:r>
      <w:rPr>
        <w:sz w:val="16"/>
        <w:szCs w:val="16"/>
        <w:lang w:val="de-DE"/>
      </w:rPr>
      <w:t>3</w:t>
    </w:r>
    <w:r w:rsidRPr="00E95128">
      <w:rPr>
        <w:sz w:val="16"/>
        <w:szCs w:val="16"/>
        <w:lang w:val="de-DE"/>
      </w:rPr>
      <w:t xml:space="preserve"> KPMG Slovensko, spol. s r.o. Alle Rechte vorbehalten</w:t>
    </w:r>
    <w:r w:rsidRPr="00E95128">
      <w:rPr>
        <w:sz w:val="16"/>
        <w:szCs w:val="16"/>
      </w:rPr>
      <w:t>. Gedruckt in der Slowakei.</w:t>
    </w:r>
    <w:r w:rsidRPr="00E95128">
      <w:t xml:space="preserve"> </w:t>
    </w:r>
    <w:r>
      <w:tab/>
    </w:r>
    <w:sdt>
      <w:sdtPr>
        <w:rPr>
          <w:b/>
        </w:rPr>
        <w:id w:val="23006680"/>
        <w:docPartObj>
          <w:docPartGallery w:val="Page Numbers (Bottom of Page)"/>
          <w:docPartUnique/>
        </w:docPartObj>
      </w:sdtPr>
      <w:sdtEndPr>
        <w:rPr>
          <w:b w:val="0"/>
        </w:rPr>
      </w:sdtEndPr>
      <w:sdtContent>
        <w:r w:rsidRPr="00F70C00">
          <w:rPr>
            <w:b/>
          </w:rPr>
          <w:fldChar w:fldCharType="begin"/>
        </w:r>
        <w:r w:rsidRPr="00F70C00">
          <w:rPr>
            <w:b/>
          </w:rPr>
          <w:instrText xml:space="preserve"> PAGE   \* MERGEFORMAT </w:instrText>
        </w:r>
        <w:r w:rsidRPr="00F70C00">
          <w:rPr>
            <w:b/>
          </w:rPr>
          <w:fldChar w:fldCharType="separate"/>
        </w:r>
        <w:r w:rsidR="008C636C">
          <w:rPr>
            <w:b/>
            <w:noProof/>
          </w:rPr>
          <w:t>64</w:t>
        </w:r>
        <w:r w:rsidRPr="00F70C00">
          <w:rPr>
            <w:b/>
          </w:rPr>
          <w:fldChar w:fldCharType="end"/>
        </w:r>
      </w:sdtContent>
    </w:sdt>
  </w:p>
  <w:p w:rsidR="00860DA4" w:rsidRDefault="00860DA4" w:rsidP="002F05C7">
    <w:pPr>
      <w:pStyle w:val="Footer"/>
      <w:rPr>
        <w:sz w:val="16"/>
        <w:szCs w:val="16"/>
      </w:rPr>
    </w:pPr>
  </w:p>
  <w:p w:rsidR="00860DA4" w:rsidRPr="00F70C00" w:rsidRDefault="00860DA4" w:rsidP="002F05C7">
    <w:pPr>
      <w:pStyle w:val="Footer"/>
      <w:rPr>
        <w:sz w:val="16"/>
        <w:szCs w:val="16"/>
      </w:rPr>
    </w:pPr>
    <w:r>
      <w:rPr>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0658BA">
    <w:pPr>
      <w:jc w:val="both"/>
    </w:pPr>
    <w:r>
      <w:t>© 2013</w:t>
    </w:r>
    <w:r w:rsidRPr="00437A9B">
      <w:t xml:space="preserve"> KPMG Slovensko spol. s r.o., a Slovak limited liability company and a member firm of the KPMG network of independent member firms affiliated with KPMG International, a Swiss cooperative. All rights reserved. Printed in Slovakia.</w:t>
    </w:r>
    <w:r w:rsidRPr="005B5822">
      <w:t xml:space="preserve"> </w:t>
    </w:r>
  </w:p>
  <w:p w:rsidR="00860DA4" w:rsidRPr="005B5822" w:rsidRDefault="00860DA4" w:rsidP="000658BA">
    <w:pPr>
      <w:jc w:val="both"/>
    </w:pPr>
    <w:r w:rsidRPr="005B5822">
      <w:rPr>
        <w:lang w:val="de-DE"/>
      </w:rPr>
      <w:t xml:space="preserve">Die hierin enthaltenen Informationen sind allgemeiner Natur und </w:t>
    </w:r>
    <w:r w:rsidRPr="005B5822">
      <w:t>beziehen sich daher nicht auf die Umstände einzelner Personen oder Rechtsträger. Obwohl wir uns bemühen, genaue und aktuelle Informationen zu liefern, besteht keine Gewähr dafür, dass diese die Situation zum Zeitpunkt der Herausgabe oder eine zukünftige Sachlage widerspiegeln. Die genannten Informationen sollten nicht ohne eingehende Untersuchung und eine professionelle Beratung als Entscheidungs-</w:t>
    </w:r>
    <w:r>
      <w:t xml:space="preserve"> oder Handlungsgrundlage dienen.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F70C00">
    <w:pPr>
      <w:pStyle w:val="Footer"/>
      <w:tabs>
        <w:tab w:val="clear" w:pos="9072"/>
        <w:tab w:val="right" w:pos="9214"/>
      </w:tabs>
    </w:pPr>
    <w:r w:rsidRPr="00E95128">
      <w:rPr>
        <w:sz w:val="16"/>
        <w:szCs w:val="16"/>
        <w:lang w:val="de-DE"/>
      </w:rPr>
      <w:t>© 201</w:t>
    </w:r>
    <w:r>
      <w:rPr>
        <w:sz w:val="16"/>
        <w:szCs w:val="16"/>
        <w:lang w:val="de-DE"/>
      </w:rPr>
      <w:t xml:space="preserve">3 </w:t>
    </w:r>
    <w:r w:rsidRPr="00E95128">
      <w:rPr>
        <w:sz w:val="16"/>
        <w:szCs w:val="16"/>
        <w:lang w:val="de-DE"/>
      </w:rPr>
      <w:t>KPMG Slovensko, spol. s r.o. Alle Rechte vorbehalten</w:t>
    </w:r>
    <w:r w:rsidRPr="00E95128">
      <w:rPr>
        <w:sz w:val="16"/>
        <w:szCs w:val="16"/>
      </w:rPr>
      <w:t>. Gedruckt in der Slowakei.</w:t>
    </w:r>
    <w:r w:rsidRPr="00E95128">
      <w:t xml:space="preserve"> </w:t>
    </w:r>
    <w:r>
      <w:tab/>
    </w:r>
    <w:sdt>
      <w:sdtPr>
        <w:id w:val="12892890"/>
        <w:docPartObj>
          <w:docPartGallery w:val="Page Numbers (Bottom of Page)"/>
          <w:docPartUnique/>
        </w:docPartObj>
      </w:sdtPr>
      <w:sdtContent>
        <w:r w:rsidRPr="00F70C00">
          <w:rPr>
            <w:b/>
          </w:rPr>
          <w:fldChar w:fldCharType="begin"/>
        </w:r>
        <w:r w:rsidRPr="00F70C00">
          <w:rPr>
            <w:b/>
          </w:rPr>
          <w:instrText xml:space="preserve"> PAGE   \* MERGEFORMAT </w:instrText>
        </w:r>
        <w:r w:rsidRPr="00F70C00">
          <w:rPr>
            <w:b/>
          </w:rPr>
          <w:fldChar w:fldCharType="separate"/>
        </w:r>
        <w:r w:rsidR="008C636C">
          <w:rPr>
            <w:b/>
            <w:noProof/>
          </w:rPr>
          <w:t>2</w:t>
        </w:r>
        <w:r w:rsidRPr="00F70C00">
          <w:rPr>
            <w:b/>
          </w:rPr>
          <w:fldChar w:fldCharType="end"/>
        </w:r>
      </w:sdtContent>
    </w:sdt>
  </w:p>
  <w:p w:rsidR="00860DA4" w:rsidRDefault="00860DA4" w:rsidP="00F70C00">
    <w:pPr>
      <w:pStyle w:val="Footer"/>
      <w:tabs>
        <w:tab w:val="clear" w:pos="9072"/>
        <w:tab w:val="right" w:pos="9214"/>
      </w:tabs>
      <w:rPr>
        <w:sz w:val="16"/>
        <w:szCs w:val="16"/>
      </w:rPr>
    </w:pPr>
  </w:p>
  <w:p w:rsidR="00860DA4" w:rsidRPr="00F70C00" w:rsidRDefault="00860DA4" w:rsidP="00F70C00">
    <w:pPr>
      <w:pStyle w:val="Footer"/>
      <w:tabs>
        <w:tab w:val="clear" w:pos="9072"/>
        <w:tab w:val="right" w:pos="9214"/>
      </w:tabs>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CA" w:rsidRDefault="00C578CA" w:rsidP="00E95128">
      <w:r>
        <w:separator/>
      </w:r>
    </w:p>
  </w:footnote>
  <w:footnote w:type="continuationSeparator" w:id="0">
    <w:p w:rsidR="00C578CA" w:rsidRDefault="00C578CA" w:rsidP="00E9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0658BA">
    <w:pPr>
      <w:pStyle w:val="Header"/>
      <w:tabs>
        <w:tab w:val="center" w:pos="4253"/>
        <w:tab w:val="right" w:pos="9214"/>
      </w:tabs>
      <w:ind w:right="-1"/>
      <w:rPr>
        <w:sz w:val="18"/>
        <w:szCs w:val="18"/>
      </w:rPr>
    </w:pPr>
  </w:p>
  <w:p w:rsidR="00860DA4" w:rsidRPr="00803D2C" w:rsidRDefault="00860DA4" w:rsidP="000658BA">
    <w:pPr>
      <w:pStyle w:val="Header"/>
      <w:tabs>
        <w:tab w:val="center" w:pos="4253"/>
        <w:tab w:val="right" w:pos="9214"/>
      </w:tabs>
      <w:ind w:right="-1"/>
    </w:pPr>
    <w:r>
      <w:rPr>
        <w:noProof/>
        <w:lang w:eastAsia="sk-SK"/>
      </w:rPr>
      <w:drawing>
        <wp:anchor distT="0" distB="0" distL="114300" distR="114300" simplePos="0" relativeHeight="251656192" behindDoc="1" locked="0" layoutInCell="1" allowOverlap="1">
          <wp:simplePos x="0" y="0"/>
          <wp:positionH relativeFrom="column">
            <wp:posOffset>0</wp:posOffset>
          </wp:positionH>
          <wp:positionV relativeFrom="paragraph">
            <wp:posOffset>-1905</wp:posOffset>
          </wp:positionV>
          <wp:extent cx="629920" cy="243840"/>
          <wp:effectExtent l="19050" t="0" r="0" b="0"/>
          <wp:wrapThrough wrapText="bothSides">
            <wp:wrapPolygon edited="0">
              <wp:start x="-653" y="0"/>
              <wp:lineTo x="0" y="20250"/>
              <wp:lineTo x="15024" y="20250"/>
              <wp:lineTo x="18290" y="20250"/>
              <wp:lineTo x="19597" y="20250"/>
              <wp:lineTo x="21556" y="10125"/>
              <wp:lineTo x="21556" y="0"/>
              <wp:lineTo x="-653" y="0"/>
            </wp:wrapPolygon>
          </wp:wrapThrough>
          <wp:docPr id="3" name="Picture 2"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pic:spPr>
              </pic:pic>
            </a:graphicData>
          </a:graphic>
        </wp:anchor>
      </w:drawing>
    </w:r>
    <w:r>
      <w:rPr>
        <w:sz w:val="18"/>
        <w:szCs w:val="18"/>
      </w:rPr>
      <w:tab/>
    </w:r>
    <w:r>
      <w:rPr>
        <w:sz w:val="18"/>
        <w:szCs w:val="18"/>
      </w:rPr>
      <w:tab/>
    </w:r>
    <w:r w:rsidRPr="009D33FD">
      <w:rPr>
        <w:sz w:val="18"/>
      </w:rPr>
      <w:t>Illustrativer Jahresabschluss</w:t>
    </w:r>
    <w:r w:rsidRPr="00252E14">
      <w:br/>
    </w:r>
    <w:r>
      <w:t xml:space="preserve"> </w:t>
    </w:r>
    <w:r>
      <w:tab/>
    </w:r>
    <w:r>
      <w:rPr>
        <w:b/>
        <w:bCs/>
        <w:sz w:val="18"/>
        <w:szCs w:val="18"/>
      </w:rPr>
      <w:t>AB</w:t>
    </w:r>
    <w:r w:rsidRPr="008D6361">
      <w:rPr>
        <w:b/>
        <w:bCs/>
        <w:sz w:val="18"/>
        <w:szCs w:val="18"/>
      </w:rPr>
      <w:t>C Slovenská výroba, spol. s r. o.</w:t>
    </w:r>
    <w:r>
      <w:rPr>
        <w:b/>
        <w:bCs/>
        <w:sz w:val="18"/>
        <w:szCs w:val="18"/>
      </w:rPr>
      <w:tab/>
    </w:r>
    <w:r w:rsidRPr="009D33FD">
      <w:rPr>
        <w:sz w:val="18"/>
      </w:rPr>
      <w:t xml:space="preserve">zum 31. </w:t>
    </w:r>
    <w:r w:rsidRPr="000D3235">
      <w:rPr>
        <w:sz w:val="18"/>
        <w:lang w:val="de-DE"/>
      </w:rPr>
      <w:t xml:space="preserve">Dezember </w:t>
    </w:r>
    <w:r>
      <w:rPr>
        <w:sz w:val="18"/>
        <w:lang w:val="de-DE"/>
      </w:rPr>
      <w:t>2011</w:t>
    </w:r>
  </w:p>
  <w:p w:rsidR="00860DA4" w:rsidRPr="000D3235" w:rsidRDefault="00860DA4" w:rsidP="00065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pPr>
      <w:pStyle w:val="Header"/>
      <w:framePr w:hSpace="181" w:wrap="around" w:vAnchor="page" w:hAnchor="margin" w:y="710"/>
      <w:rPr>
        <w:i/>
        <w:sz w:val="26"/>
        <w:szCs w:val="26"/>
      </w:rPr>
    </w:pPr>
    <w:r>
      <w:rPr>
        <w:rFonts w:ascii="KPMG Logo" w:hAnsi="KPMG Logo"/>
        <w:i/>
        <w:sz w:val="26"/>
        <w:szCs w:val="26"/>
      </w:rPr>
      <w:t>ABCD</w:t>
    </w:r>
  </w:p>
  <w:p w:rsidR="00860DA4" w:rsidRDefault="00860DA4">
    <w:pPr>
      <w:pStyle w:val="Head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3A3E9A">
    <w:pPr>
      <w:pStyle w:val="Header"/>
      <w:tabs>
        <w:tab w:val="center" w:pos="4820"/>
        <w:tab w:val="right" w:pos="9214"/>
      </w:tabs>
      <w:jc w:val="right"/>
      <w:rPr>
        <w:sz w:val="18"/>
      </w:rPr>
    </w:pPr>
  </w:p>
  <w:p w:rsidR="00860DA4" w:rsidRPr="00E95128" w:rsidRDefault="00860DA4" w:rsidP="003A3E9A">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62336" behindDoc="1" locked="0" layoutInCell="1" allowOverlap="1">
          <wp:simplePos x="0" y="0"/>
          <wp:positionH relativeFrom="column">
            <wp:align>left</wp:align>
          </wp:positionH>
          <wp:positionV relativeFrom="page">
            <wp:posOffset>561975</wp:posOffset>
          </wp:positionV>
          <wp:extent cx="629920" cy="243840"/>
          <wp:effectExtent l="19050" t="0" r="0" b="0"/>
          <wp:wrapNone/>
          <wp:docPr id="1"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E95128">
      <w:rPr>
        <w:sz w:val="18"/>
      </w:rPr>
      <w:t>Illustrativer Jahresabschluss</w:t>
    </w:r>
  </w:p>
  <w:p w:rsidR="00860DA4" w:rsidRPr="00E95128" w:rsidRDefault="00860DA4" w:rsidP="003A3E9A">
    <w:pPr>
      <w:pStyle w:val="Header"/>
      <w:tabs>
        <w:tab w:val="clear" w:pos="4536"/>
        <w:tab w:val="clear" w:pos="9072"/>
        <w:tab w:val="center" w:pos="3969"/>
        <w:tab w:val="right" w:pos="9214"/>
      </w:tabs>
      <w:jc w:val="right"/>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E95128">
      <w:rPr>
        <w:sz w:val="18"/>
        <w:lang w:val="de-DE"/>
      </w:rPr>
      <w:t>zum 31. Dezember 201</w:t>
    </w:r>
    <w:r>
      <w:rPr>
        <w:sz w:val="18"/>
        <w:lang w:val="de-DE"/>
      </w:rPr>
      <w:t>3</w:t>
    </w:r>
  </w:p>
  <w:p w:rsidR="00860DA4" w:rsidRPr="00E95128" w:rsidRDefault="00860DA4" w:rsidP="00E95128">
    <w:pPr>
      <w:pStyle w:val="Header"/>
      <w:tabs>
        <w:tab w:val="center" w:pos="4820"/>
        <w:tab w:val="right" w:pos="9214"/>
      </w:tabs>
      <w:jc w:val="right"/>
      <w:rPr>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E95128">
    <w:pPr>
      <w:pStyle w:val="Header"/>
      <w:tabs>
        <w:tab w:val="center" w:pos="4820"/>
        <w:tab w:val="right" w:pos="9214"/>
      </w:tabs>
      <w:jc w:val="right"/>
      <w:rPr>
        <w:sz w:val="18"/>
      </w:rPr>
    </w:pPr>
  </w:p>
  <w:p w:rsidR="00860DA4" w:rsidRPr="00E95128" w:rsidRDefault="00860DA4" w:rsidP="00E95128">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59264" behindDoc="1" locked="0" layoutInCell="1" allowOverlap="1">
          <wp:simplePos x="0" y="0"/>
          <wp:positionH relativeFrom="column">
            <wp:align>left</wp:align>
          </wp:positionH>
          <wp:positionV relativeFrom="page">
            <wp:posOffset>561975</wp:posOffset>
          </wp:positionV>
          <wp:extent cx="629920" cy="243840"/>
          <wp:effectExtent l="19050" t="0" r="0" b="0"/>
          <wp:wrapNone/>
          <wp:docPr id="6"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E95128">
      <w:rPr>
        <w:sz w:val="18"/>
      </w:rPr>
      <w:t>Illustrativer Jahresabschluss</w:t>
    </w:r>
  </w:p>
  <w:p w:rsidR="00860DA4" w:rsidRDefault="00860DA4" w:rsidP="00E95128">
    <w:pPr>
      <w:pStyle w:val="Header"/>
      <w:tabs>
        <w:tab w:val="clear" w:pos="4536"/>
        <w:tab w:val="clear" w:pos="9072"/>
        <w:tab w:val="center" w:pos="3969"/>
        <w:tab w:val="right" w:pos="9214"/>
      </w:tabs>
      <w:jc w:val="right"/>
      <w:rPr>
        <w:sz w:val="18"/>
        <w:lang w:val="de-DE"/>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E95128">
      <w:rPr>
        <w:sz w:val="18"/>
        <w:lang w:val="de-DE"/>
      </w:rPr>
      <w:t>zum 31. Dezember 201</w:t>
    </w:r>
    <w:r>
      <w:rPr>
        <w:sz w:val="18"/>
        <w:lang w:val="de-DE"/>
      </w:rPr>
      <w:t>3</w:t>
    </w:r>
  </w:p>
  <w:p w:rsidR="00860DA4" w:rsidRDefault="00860DA4" w:rsidP="00E95128">
    <w:pPr>
      <w:pStyle w:val="Header"/>
      <w:tabs>
        <w:tab w:val="clear" w:pos="4536"/>
        <w:tab w:val="clear" w:pos="9072"/>
        <w:tab w:val="center" w:pos="3969"/>
        <w:tab w:val="right" w:pos="9214"/>
      </w:tabs>
      <w:jc w:val="right"/>
      <w:rPr>
        <w:sz w:val="18"/>
        <w:lang w:val="de-DE"/>
      </w:rPr>
    </w:pPr>
  </w:p>
  <w:p w:rsidR="00860DA4" w:rsidRPr="00E95128" w:rsidRDefault="00860DA4" w:rsidP="00E95128">
    <w:pPr>
      <w:pStyle w:val="Header"/>
      <w:tabs>
        <w:tab w:val="clear" w:pos="4536"/>
        <w:tab w:val="clear" w:pos="9072"/>
        <w:tab w:val="center" w:pos="3969"/>
        <w:tab w:val="right" w:pos="9214"/>
      </w:tabs>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3A3E9A">
    <w:pPr>
      <w:pStyle w:val="Header"/>
      <w:tabs>
        <w:tab w:val="center" w:pos="4820"/>
        <w:tab w:val="right" w:pos="9214"/>
      </w:tabs>
      <w:jc w:val="right"/>
      <w:rPr>
        <w:sz w:val="18"/>
      </w:rPr>
    </w:pPr>
  </w:p>
  <w:p w:rsidR="00860DA4" w:rsidRPr="00E95128" w:rsidRDefault="00860DA4" w:rsidP="003A3E9A">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64384" behindDoc="1" locked="0" layoutInCell="1" allowOverlap="1">
          <wp:simplePos x="0" y="0"/>
          <wp:positionH relativeFrom="column">
            <wp:align>left</wp:align>
          </wp:positionH>
          <wp:positionV relativeFrom="page">
            <wp:posOffset>561975</wp:posOffset>
          </wp:positionV>
          <wp:extent cx="629920" cy="243840"/>
          <wp:effectExtent l="19050" t="0" r="0" b="0"/>
          <wp:wrapNone/>
          <wp:docPr id="2"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E95128">
      <w:rPr>
        <w:sz w:val="18"/>
      </w:rPr>
      <w:t>Illustrativer Jahresabschluss</w:t>
    </w:r>
  </w:p>
  <w:p w:rsidR="00860DA4" w:rsidRPr="00E95128" w:rsidRDefault="00860DA4" w:rsidP="003A3E9A">
    <w:pPr>
      <w:pStyle w:val="Header"/>
      <w:tabs>
        <w:tab w:val="clear" w:pos="4536"/>
        <w:tab w:val="clear" w:pos="9072"/>
        <w:tab w:val="center" w:pos="3969"/>
        <w:tab w:val="right" w:pos="9214"/>
      </w:tabs>
      <w:jc w:val="right"/>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E95128">
      <w:rPr>
        <w:sz w:val="18"/>
        <w:lang w:val="de-DE"/>
      </w:rPr>
      <w:t>zum 31. Dezember 201</w:t>
    </w:r>
    <w:r>
      <w:rPr>
        <w:sz w:val="18"/>
        <w:lang w:val="de-DE"/>
      </w:rPr>
      <w:t>3</w:t>
    </w:r>
  </w:p>
  <w:p w:rsidR="00860DA4" w:rsidRPr="00E95128" w:rsidRDefault="00860DA4" w:rsidP="00E95128">
    <w:pPr>
      <w:pStyle w:val="Header"/>
      <w:tabs>
        <w:tab w:val="center" w:pos="4820"/>
        <w:tab w:val="right" w:pos="9214"/>
      </w:tabs>
      <w:jc w:val="right"/>
      <w:rPr>
        <w:sz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E95128">
    <w:pPr>
      <w:pStyle w:val="Header"/>
      <w:tabs>
        <w:tab w:val="center" w:pos="4820"/>
        <w:tab w:val="right" w:pos="9214"/>
      </w:tabs>
      <w:jc w:val="right"/>
      <w:rPr>
        <w:sz w:val="18"/>
      </w:rPr>
    </w:pPr>
  </w:p>
  <w:p w:rsidR="00860DA4" w:rsidRPr="00E95128" w:rsidRDefault="00860DA4" w:rsidP="00E95128">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68480" behindDoc="1" locked="0" layoutInCell="1" allowOverlap="1">
          <wp:simplePos x="0" y="0"/>
          <wp:positionH relativeFrom="column">
            <wp:align>left</wp:align>
          </wp:positionH>
          <wp:positionV relativeFrom="page">
            <wp:posOffset>561975</wp:posOffset>
          </wp:positionV>
          <wp:extent cx="629920" cy="243840"/>
          <wp:effectExtent l="19050" t="0" r="0" b="0"/>
          <wp:wrapNone/>
          <wp:docPr id="5"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E95128">
      <w:rPr>
        <w:sz w:val="18"/>
      </w:rPr>
      <w:t>Illustrativer Jahresabschluss</w:t>
    </w:r>
  </w:p>
  <w:p w:rsidR="00860DA4" w:rsidRDefault="00860DA4" w:rsidP="00E95128">
    <w:pPr>
      <w:pStyle w:val="Header"/>
      <w:tabs>
        <w:tab w:val="clear" w:pos="4536"/>
        <w:tab w:val="clear" w:pos="9072"/>
        <w:tab w:val="center" w:pos="3969"/>
        <w:tab w:val="right" w:pos="9214"/>
      </w:tabs>
      <w:jc w:val="right"/>
      <w:rPr>
        <w:sz w:val="18"/>
        <w:lang w:val="de-DE"/>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E95128">
      <w:rPr>
        <w:sz w:val="18"/>
        <w:lang w:val="de-DE"/>
      </w:rPr>
      <w:t>zum 31. Dezember 201</w:t>
    </w:r>
    <w:r>
      <w:rPr>
        <w:sz w:val="18"/>
        <w:lang w:val="de-DE"/>
      </w:rPr>
      <w:t>3</w:t>
    </w:r>
  </w:p>
  <w:p w:rsidR="00860DA4" w:rsidRDefault="00860DA4" w:rsidP="00E95128">
    <w:pPr>
      <w:pStyle w:val="Header"/>
      <w:tabs>
        <w:tab w:val="clear" w:pos="4536"/>
        <w:tab w:val="clear" w:pos="9072"/>
        <w:tab w:val="center" w:pos="3969"/>
        <w:tab w:val="right" w:pos="9214"/>
      </w:tabs>
      <w:jc w:val="right"/>
      <w:rPr>
        <w:sz w:val="18"/>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4252"/>
      <w:gridCol w:w="284"/>
      <w:gridCol w:w="283"/>
      <w:gridCol w:w="284"/>
      <w:gridCol w:w="283"/>
      <w:gridCol w:w="284"/>
      <w:gridCol w:w="283"/>
      <w:gridCol w:w="284"/>
      <w:gridCol w:w="283"/>
      <w:gridCol w:w="284"/>
      <w:gridCol w:w="283"/>
    </w:tblGrid>
    <w:tr w:rsidR="00860DA4" w:rsidTr="00AC0D5A">
      <w:trPr>
        <w:trHeight w:val="299"/>
      </w:trPr>
      <w:tc>
        <w:tcPr>
          <w:tcW w:w="2127" w:type="dxa"/>
          <w:tcBorders>
            <w:top w:val="single" w:sz="4" w:space="0" w:color="auto"/>
            <w:left w:val="single" w:sz="4" w:space="0" w:color="auto"/>
            <w:bottom w:val="single" w:sz="4" w:space="0" w:color="auto"/>
            <w:right w:val="single" w:sz="4" w:space="0" w:color="auto"/>
          </w:tcBorders>
          <w:vAlign w:val="center"/>
        </w:tcPr>
        <w:p w:rsidR="00860DA4" w:rsidRPr="00AC0D5A" w:rsidRDefault="00860DA4" w:rsidP="00860DA4">
          <w:pPr>
            <w:pStyle w:val="Header"/>
            <w:tabs>
              <w:tab w:val="clear" w:pos="4536"/>
              <w:tab w:val="center" w:pos="4253"/>
              <w:tab w:val="right" w:pos="9214"/>
            </w:tabs>
            <w:jc w:val="center"/>
            <w:rPr>
              <w:rFonts w:cs="Arial"/>
              <w:sz w:val="18"/>
              <w:szCs w:val="18"/>
              <w:lang w:eastAsia="sk-SK"/>
            </w:rPr>
          </w:pPr>
          <w:r>
            <w:rPr>
              <w:rFonts w:cs="Arial"/>
              <w:sz w:val="18"/>
              <w:szCs w:val="18"/>
              <w:lang w:eastAsia="sk-SK"/>
            </w:rPr>
            <w:t>Anhang</w:t>
          </w:r>
          <w:r w:rsidRPr="00DD1CC9">
            <w:rPr>
              <w:rFonts w:cs="Arial"/>
              <w:sz w:val="18"/>
              <w:szCs w:val="18"/>
              <w:lang w:eastAsia="sk-SK"/>
            </w:rPr>
            <w:t xml:space="preserve"> Úč POD 3 - 04</w:t>
          </w:r>
        </w:p>
      </w:tc>
      <w:tc>
        <w:tcPr>
          <w:tcW w:w="4252" w:type="dxa"/>
          <w:tcBorders>
            <w:top w:val="nil"/>
            <w:left w:val="single" w:sz="4" w:space="0" w:color="auto"/>
            <w:bottom w:val="nil"/>
            <w:right w:val="single" w:sz="4" w:space="0" w:color="auto"/>
          </w:tcBorders>
          <w:vAlign w:val="center"/>
        </w:tcPr>
        <w:p w:rsidR="00860DA4" w:rsidRDefault="00860DA4" w:rsidP="00027877">
          <w:pPr>
            <w:pStyle w:val="Header"/>
            <w:tabs>
              <w:tab w:val="clear" w:pos="4536"/>
              <w:tab w:val="center" w:pos="4253"/>
              <w:tab w:val="right" w:pos="9214"/>
            </w:tabs>
            <w:jc w:val="right"/>
            <w:rPr>
              <w:sz w:val="18"/>
              <w:szCs w:val="18"/>
            </w:rPr>
          </w:pPr>
          <w:r w:rsidRPr="00DD1CC9">
            <w:rPr>
              <w:sz w:val="18"/>
              <w:szCs w:val="18"/>
            </w:rPr>
            <w:t>DIČ</w:t>
          </w:r>
        </w:p>
      </w:tc>
      <w:tc>
        <w:tcPr>
          <w:tcW w:w="284"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3"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4"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3"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4"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3"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4"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3"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4"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c>
        <w:tcPr>
          <w:tcW w:w="283" w:type="dxa"/>
          <w:tcBorders>
            <w:top w:val="single" w:sz="4" w:space="0" w:color="auto"/>
            <w:left w:val="single" w:sz="4" w:space="0" w:color="auto"/>
            <w:bottom w:val="single" w:sz="4" w:space="0" w:color="auto"/>
            <w:right w:val="single" w:sz="4" w:space="0" w:color="auto"/>
          </w:tcBorders>
          <w:vAlign w:val="center"/>
        </w:tcPr>
        <w:p w:rsidR="00860DA4" w:rsidRDefault="0025303E" w:rsidP="00860DA4">
          <w:pPr>
            <w:pStyle w:val="Header"/>
            <w:tabs>
              <w:tab w:val="clear" w:pos="4536"/>
              <w:tab w:val="center" w:pos="4253"/>
              <w:tab w:val="right" w:pos="9214"/>
            </w:tabs>
            <w:jc w:val="center"/>
            <w:rPr>
              <w:sz w:val="22"/>
            </w:rPr>
          </w:pPr>
          <w:r>
            <w:rPr>
              <w:sz w:val="22"/>
            </w:rPr>
            <w:t>9</w:t>
          </w:r>
        </w:p>
      </w:tc>
    </w:tr>
  </w:tbl>
  <w:p w:rsidR="00860DA4" w:rsidRPr="00E95128" w:rsidRDefault="00860DA4" w:rsidP="00E95128">
    <w:pPr>
      <w:pStyle w:val="Header"/>
      <w:tabs>
        <w:tab w:val="clear" w:pos="4536"/>
        <w:tab w:val="clear" w:pos="9072"/>
        <w:tab w:val="center" w:pos="3969"/>
        <w:tab w:val="right" w:pos="9214"/>
      </w:tabs>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A4" w:rsidRDefault="00860DA4" w:rsidP="003A3E9A">
    <w:pPr>
      <w:pStyle w:val="Header"/>
      <w:tabs>
        <w:tab w:val="center" w:pos="4820"/>
        <w:tab w:val="right" w:pos="9214"/>
      </w:tabs>
      <w:jc w:val="right"/>
      <w:rPr>
        <w:sz w:val="18"/>
      </w:rPr>
    </w:pPr>
  </w:p>
  <w:p w:rsidR="00860DA4" w:rsidRPr="00E95128" w:rsidRDefault="00860DA4" w:rsidP="003A3E9A">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66432" behindDoc="1" locked="0" layoutInCell="1" allowOverlap="1">
          <wp:simplePos x="0" y="0"/>
          <wp:positionH relativeFrom="column">
            <wp:align>left</wp:align>
          </wp:positionH>
          <wp:positionV relativeFrom="page">
            <wp:posOffset>561975</wp:posOffset>
          </wp:positionV>
          <wp:extent cx="629920" cy="243840"/>
          <wp:effectExtent l="19050" t="0" r="0" b="0"/>
          <wp:wrapNone/>
          <wp:docPr id="4"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E95128">
      <w:rPr>
        <w:sz w:val="18"/>
      </w:rPr>
      <w:t>Illustrativer Jahresabschluss</w:t>
    </w:r>
  </w:p>
  <w:p w:rsidR="00860DA4" w:rsidRPr="00E95128" w:rsidRDefault="00860DA4" w:rsidP="003A3E9A">
    <w:pPr>
      <w:pStyle w:val="Header"/>
      <w:tabs>
        <w:tab w:val="clear" w:pos="4536"/>
        <w:tab w:val="clear" w:pos="9072"/>
        <w:tab w:val="center" w:pos="3969"/>
        <w:tab w:val="right" w:pos="9214"/>
      </w:tabs>
      <w:jc w:val="right"/>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E95128">
      <w:rPr>
        <w:sz w:val="18"/>
        <w:lang w:val="de-DE"/>
      </w:rPr>
      <w:t>zum 31. Dezember 201</w:t>
    </w:r>
    <w:r>
      <w:rPr>
        <w:sz w:val="18"/>
        <w:lang w:val="de-DE"/>
      </w:rPr>
      <w:t>3</w:t>
    </w:r>
  </w:p>
  <w:p w:rsidR="00860DA4" w:rsidRDefault="00860DA4" w:rsidP="00E95128">
    <w:pPr>
      <w:pStyle w:val="Header"/>
      <w:tabs>
        <w:tab w:val="center" w:pos="4820"/>
        <w:tab w:val="right" w:pos="9214"/>
      </w:tabs>
      <w:jc w:val="right"/>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4252"/>
      <w:gridCol w:w="284"/>
      <w:gridCol w:w="283"/>
      <w:gridCol w:w="284"/>
      <w:gridCol w:w="283"/>
      <w:gridCol w:w="284"/>
      <w:gridCol w:w="283"/>
      <w:gridCol w:w="284"/>
      <w:gridCol w:w="283"/>
      <w:gridCol w:w="284"/>
      <w:gridCol w:w="283"/>
    </w:tblGrid>
    <w:tr w:rsidR="00860DA4" w:rsidTr="00860DA4">
      <w:trPr>
        <w:trHeight w:val="299"/>
      </w:trPr>
      <w:tc>
        <w:tcPr>
          <w:tcW w:w="2127" w:type="dxa"/>
          <w:vAlign w:val="center"/>
        </w:tcPr>
        <w:p w:rsidR="00860DA4" w:rsidRPr="00DD1CC9" w:rsidRDefault="00860DA4" w:rsidP="00860DA4">
          <w:pPr>
            <w:pStyle w:val="Header"/>
            <w:tabs>
              <w:tab w:val="clear" w:pos="4536"/>
              <w:tab w:val="center" w:pos="4253"/>
              <w:tab w:val="right" w:pos="9214"/>
            </w:tabs>
            <w:jc w:val="center"/>
            <w:rPr>
              <w:sz w:val="18"/>
              <w:szCs w:val="18"/>
            </w:rPr>
          </w:pPr>
          <w:r>
            <w:rPr>
              <w:rFonts w:cs="Arial"/>
              <w:sz w:val="18"/>
              <w:szCs w:val="18"/>
              <w:lang w:eastAsia="sk-SK"/>
            </w:rPr>
            <w:t>Anhang</w:t>
          </w:r>
          <w:r w:rsidRPr="00DD1CC9">
            <w:rPr>
              <w:rFonts w:cs="Arial"/>
              <w:sz w:val="18"/>
              <w:szCs w:val="18"/>
              <w:lang w:eastAsia="sk-SK"/>
            </w:rPr>
            <w:t xml:space="preserve"> Úč POD 3 - 04</w:t>
          </w:r>
        </w:p>
      </w:tc>
      <w:tc>
        <w:tcPr>
          <w:tcW w:w="4252" w:type="dxa"/>
          <w:tcBorders>
            <w:top w:val="nil"/>
            <w:bottom w:val="nil"/>
          </w:tcBorders>
          <w:vAlign w:val="center"/>
        </w:tcPr>
        <w:p w:rsidR="00860DA4" w:rsidRPr="00DD1CC9" w:rsidRDefault="00860DA4" w:rsidP="00860DA4">
          <w:pPr>
            <w:pStyle w:val="Header"/>
            <w:tabs>
              <w:tab w:val="clear" w:pos="4536"/>
              <w:tab w:val="center" w:pos="4253"/>
              <w:tab w:val="right" w:pos="9214"/>
            </w:tabs>
            <w:jc w:val="right"/>
            <w:rPr>
              <w:sz w:val="18"/>
              <w:szCs w:val="18"/>
            </w:rPr>
          </w:pPr>
          <w:r w:rsidRPr="00DD1CC9">
            <w:rPr>
              <w:sz w:val="18"/>
              <w:szCs w:val="18"/>
            </w:rPr>
            <w:t>DIČ</w:t>
          </w:r>
        </w:p>
      </w:tc>
      <w:tc>
        <w:tcPr>
          <w:tcW w:w="284" w:type="dxa"/>
          <w:vAlign w:val="center"/>
        </w:tcPr>
        <w:p w:rsidR="00860DA4" w:rsidRDefault="00860DA4" w:rsidP="00860DA4">
          <w:pPr>
            <w:pStyle w:val="Header"/>
            <w:tabs>
              <w:tab w:val="clear" w:pos="4536"/>
              <w:tab w:val="center" w:pos="4253"/>
              <w:tab w:val="right" w:pos="9214"/>
            </w:tabs>
            <w:jc w:val="center"/>
            <w:rPr>
              <w:sz w:val="22"/>
            </w:rPr>
          </w:pPr>
        </w:p>
      </w:tc>
      <w:tc>
        <w:tcPr>
          <w:tcW w:w="283" w:type="dxa"/>
          <w:vAlign w:val="center"/>
        </w:tcPr>
        <w:p w:rsidR="00860DA4" w:rsidRDefault="00860DA4" w:rsidP="00860DA4">
          <w:pPr>
            <w:pStyle w:val="Header"/>
            <w:tabs>
              <w:tab w:val="clear" w:pos="4536"/>
              <w:tab w:val="center" w:pos="4253"/>
              <w:tab w:val="right" w:pos="9214"/>
            </w:tabs>
            <w:jc w:val="center"/>
            <w:rPr>
              <w:sz w:val="22"/>
            </w:rPr>
          </w:pPr>
        </w:p>
      </w:tc>
      <w:tc>
        <w:tcPr>
          <w:tcW w:w="284" w:type="dxa"/>
          <w:vAlign w:val="center"/>
        </w:tcPr>
        <w:p w:rsidR="00860DA4" w:rsidRDefault="00860DA4" w:rsidP="00860DA4">
          <w:pPr>
            <w:pStyle w:val="Header"/>
            <w:tabs>
              <w:tab w:val="clear" w:pos="4536"/>
              <w:tab w:val="center" w:pos="4253"/>
              <w:tab w:val="right" w:pos="9214"/>
            </w:tabs>
            <w:jc w:val="center"/>
            <w:rPr>
              <w:sz w:val="22"/>
            </w:rPr>
          </w:pPr>
        </w:p>
      </w:tc>
      <w:tc>
        <w:tcPr>
          <w:tcW w:w="283" w:type="dxa"/>
          <w:vAlign w:val="center"/>
        </w:tcPr>
        <w:p w:rsidR="00860DA4" w:rsidRDefault="00860DA4" w:rsidP="00860DA4">
          <w:pPr>
            <w:pStyle w:val="Header"/>
            <w:tabs>
              <w:tab w:val="clear" w:pos="4536"/>
              <w:tab w:val="center" w:pos="4253"/>
              <w:tab w:val="right" w:pos="9214"/>
            </w:tabs>
            <w:jc w:val="center"/>
            <w:rPr>
              <w:sz w:val="22"/>
            </w:rPr>
          </w:pPr>
        </w:p>
      </w:tc>
      <w:tc>
        <w:tcPr>
          <w:tcW w:w="284" w:type="dxa"/>
          <w:vAlign w:val="center"/>
        </w:tcPr>
        <w:p w:rsidR="00860DA4" w:rsidRDefault="00860DA4" w:rsidP="00860DA4">
          <w:pPr>
            <w:pStyle w:val="Header"/>
            <w:tabs>
              <w:tab w:val="clear" w:pos="4536"/>
              <w:tab w:val="center" w:pos="4253"/>
              <w:tab w:val="right" w:pos="9214"/>
            </w:tabs>
            <w:jc w:val="center"/>
            <w:rPr>
              <w:sz w:val="22"/>
            </w:rPr>
          </w:pPr>
        </w:p>
      </w:tc>
      <w:tc>
        <w:tcPr>
          <w:tcW w:w="283" w:type="dxa"/>
          <w:vAlign w:val="center"/>
        </w:tcPr>
        <w:p w:rsidR="00860DA4" w:rsidRDefault="00860DA4" w:rsidP="00860DA4">
          <w:pPr>
            <w:pStyle w:val="Header"/>
            <w:tabs>
              <w:tab w:val="clear" w:pos="4536"/>
              <w:tab w:val="center" w:pos="4253"/>
              <w:tab w:val="right" w:pos="9214"/>
            </w:tabs>
            <w:jc w:val="center"/>
            <w:rPr>
              <w:sz w:val="22"/>
            </w:rPr>
          </w:pPr>
        </w:p>
      </w:tc>
      <w:tc>
        <w:tcPr>
          <w:tcW w:w="284" w:type="dxa"/>
          <w:vAlign w:val="center"/>
        </w:tcPr>
        <w:p w:rsidR="00860DA4" w:rsidRDefault="00860DA4" w:rsidP="00860DA4">
          <w:pPr>
            <w:pStyle w:val="Header"/>
            <w:tabs>
              <w:tab w:val="clear" w:pos="4536"/>
              <w:tab w:val="center" w:pos="4253"/>
              <w:tab w:val="right" w:pos="9214"/>
            </w:tabs>
            <w:jc w:val="center"/>
            <w:rPr>
              <w:sz w:val="22"/>
            </w:rPr>
          </w:pPr>
        </w:p>
      </w:tc>
      <w:tc>
        <w:tcPr>
          <w:tcW w:w="283" w:type="dxa"/>
          <w:vAlign w:val="center"/>
        </w:tcPr>
        <w:p w:rsidR="00860DA4" w:rsidRDefault="00860DA4" w:rsidP="00860DA4">
          <w:pPr>
            <w:pStyle w:val="Header"/>
            <w:tabs>
              <w:tab w:val="clear" w:pos="4536"/>
              <w:tab w:val="center" w:pos="4253"/>
              <w:tab w:val="right" w:pos="9214"/>
            </w:tabs>
            <w:jc w:val="center"/>
            <w:rPr>
              <w:sz w:val="22"/>
            </w:rPr>
          </w:pPr>
        </w:p>
      </w:tc>
      <w:tc>
        <w:tcPr>
          <w:tcW w:w="284" w:type="dxa"/>
          <w:vAlign w:val="center"/>
        </w:tcPr>
        <w:p w:rsidR="00860DA4" w:rsidRDefault="00860DA4" w:rsidP="00860DA4">
          <w:pPr>
            <w:pStyle w:val="Header"/>
            <w:tabs>
              <w:tab w:val="clear" w:pos="4536"/>
              <w:tab w:val="center" w:pos="4253"/>
              <w:tab w:val="right" w:pos="9214"/>
            </w:tabs>
            <w:jc w:val="center"/>
            <w:rPr>
              <w:sz w:val="22"/>
            </w:rPr>
          </w:pPr>
        </w:p>
      </w:tc>
      <w:tc>
        <w:tcPr>
          <w:tcW w:w="283" w:type="dxa"/>
          <w:vAlign w:val="center"/>
        </w:tcPr>
        <w:p w:rsidR="00860DA4" w:rsidRDefault="00860DA4" w:rsidP="00860DA4">
          <w:pPr>
            <w:pStyle w:val="Header"/>
            <w:tabs>
              <w:tab w:val="clear" w:pos="4536"/>
              <w:tab w:val="center" w:pos="4253"/>
              <w:tab w:val="right" w:pos="9214"/>
            </w:tabs>
            <w:jc w:val="center"/>
            <w:rPr>
              <w:sz w:val="22"/>
            </w:rPr>
          </w:pPr>
        </w:p>
      </w:tc>
    </w:tr>
  </w:tbl>
  <w:p w:rsidR="00860DA4" w:rsidRPr="00E95128" w:rsidRDefault="00860DA4" w:rsidP="00E95128">
    <w:pPr>
      <w:pStyle w:val="Header"/>
      <w:tabs>
        <w:tab w:val="center" w:pos="4820"/>
        <w:tab w:val="right" w:pos="9214"/>
      </w:tabs>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B71293"/>
    <w:multiLevelType w:val="singleLevel"/>
    <w:tmpl w:val="5D2CEDE4"/>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3">
    <w:nsid w:val="0F7B201E"/>
    <w:multiLevelType w:val="hybridMultilevel"/>
    <w:tmpl w:val="C07CDD9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0890113"/>
    <w:multiLevelType w:val="singleLevel"/>
    <w:tmpl w:val="D41A76FC"/>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141343CD"/>
    <w:multiLevelType w:val="singleLevel"/>
    <w:tmpl w:val="55AAC7D0"/>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5B444EE"/>
    <w:multiLevelType w:val="singleLevel"/>
    <w:tmpl w:val="36F0DF82"/>
    <w:lvl w:ilvl="0">
      <w:start w:val="1"/>
      <w:numFmt w:val="lowerLetter"/>
      <w:lvlText w:val="(%1)"/>
      <w:lvlJc w:val="left"/>
      <w:pPr>
        <w:tabs>
          <w:tab w:val="num" w:pos="360"/>
        </w:tabs>
        <w:ind w:left="360" w:hanging="360"/>
      </w:pPr>
      <w:rPr>
        <w:rFonts w:cs="Times New Roman" w:hint="default"/>
        <w:b/>
      </w:rPr>
    </w:lvl>
  </w:abstractNum>
  <w:abstractNum w:abstractNumId="7">
    <w:nsid w:val="161A1F5E"/>
    <w:multiLevelType w:val="singleLevel"/>
    <w:tmpl w:val="30BE6116"/>
    <w:lvl w:ilvl="0">
      <w:start w:val="5"/>
      <w:numFmt w:val="bullet"/>
      <w:lvlText w:val="-"/>
      <w:lvlJc w:val="left"/>
      <w:pPr>
        <w:tabs>
          <w:tab w:val="num" w:pos="360"/>
        </w:tabs>
        <w:ind w:left="360" w:hanging="360"/>
      </w:pPr>
      <w:rPr>
        <w:rFonts w:hint="default"/>
      </w:rPr>
    </w:lvl>
  </w:abstractNum>
  <w:abstractNum w:abstractNumId="8">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9">
    <w:nsid w:val="237329C6"/>
    <w:multiLevelType w:val="hybridMultilevel"/>
    <w:tmpl w:val="AA0C3734"/>
    <w:lvl w:ilvl="0" w:tplc="6660CD6E">
      <w:start w:val="1"/>
      <w:numFmt w:val="bullet"/>
      <w:lvlText w:val="–"/>
      <w:lvlJc w:val="left"/>
      <w:pPr>
        <w:ind w:left="1150" w:hanging="360"/>
      </w:pPr>
      <w:rPr>
        <w:rFonts w:ascii="Times New Roman" w:hAnsi="Times New Roman"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0">
    <w:nsid w:val="24480A66"/>
    <w:multiLevelType w:val="singleLevel"/>
    <w:tmpl w:val="0409000F"/>
    <w:lvl w:ilvl="0">
      <w:start w:val="1"/>
      <w:numFmt w:val="decimal"/>
      <w:lvlText w:val="%1."/>
      <w:lvlJc w:val="left"/>
      <w:pPr>
        <w:tabs>
          <w:tab w:val="num" w:pos="450"/>
        </w:tabs>
        <w:ind w:left="450" w:hanging="360"/>
      </w:pPr>
      <w:rPr>
        <w:rFonts w:cs="Times New Roman"/>
      </w:rPr>
    </w:lvl>
  </w:abstractNum>
  <w:abstractNum w:abstractNumId="11">
    <w:nsid w:val="266707E4"/>
    <w:multiLevelType w:val="singleLevel"/>
    <w:tmpl w:val="8F50806C"/>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36BE61C3"/>
    <w:multiLevelType w:val="singleLevel"/>
    <w:tmpl w:val="E6BC554C"/>
    <w:lvl w:ilvl="0">
      <w:start w:val="1"/>
      <w:numFmt w:val="decimal"/>
      <w:pStyle w:val="Heading2"/>
      <w:lvlText w:val="%1."/>
      <w:lvlJc w:val="left"/>
      <w:pPr>
        <w:tabs>
          <w:tab w:val="num" w:pos="360"/>
        </w:tabs>
        <w:ind w:left="360" w:hanging="360"/>
      </w:pPr>
      <w:rPr>
        <w:rFonts w:cs="Times New Roman" w:hint="default"/>
      </w:rPr>
    </w:lvl>
  </w:abstractNum>
  <w:abstractNum w:abstractNumId="13">
    <w:nsid w:val="392739C7"/>
    <w:multiLevelType w:val="singleLevel"/>
    <w:tmpl w:val="2C7CE2C6"/>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5402120D"/>
    <w:multiLevelType w:val="singleLevel"/>
    <w:tmpl w:val="362C932C"/>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73473C13"/>
    <w:multiLevelType w:val="singleLevel"/>
    <w:tmpl w:val="2A50B936"/>
    <w:lvl w:ilvl="0">
      <w:start w:val="1"/>
      <w:numFmt w:val="upperLetter"/>
      <w:pStyle w:val="Heading1"/>
      <w:lvlText w:val="%1."/>
      <w:lvlJc w:val="left"/>
      <w:pPr>
        <w:tabs>
          <w:tab w:val="num" w:pos="450"/>
        </w:tabs>
        <w:ind w:left="450" w:hanging="360"/>
      </w:pPr>
      <w:rPr>
        <w:rFonts w:cs="Times New Roman" w:hint="default"/>
      </w:rPr>
    </w:lvl>
  </w:abstractNum>
  <w:abstractNum w:abstractNumId="16">
    <w:nsid w:val="74B22D21"/>
    <w:multiLevelType w:val="hybridMultilevel"/>
    <w:tmpl w:val="FFB42D56"/>
    <w:lvl w:ilvl="0" w:tplc="A6CEDE30">
      <w:start w:val="1"/>
      <w:numFmt w:val="bullet"/>
      <w:lvlText w:val="–"/>
      <w:lvlJc w:val="left"/>
      <w:pPr>
        <w:tabs>
          <w:tab w:val="num" w:pos="720"/>
        </w:tabs>
        <w:ind w:left="72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num w:numId="1">
    <w:abstractNumId w:val="15"/>
  </w:num>
  <w:num w:numId="2">
    <w:abstractNumId w:val="12"/>
  </w:num>
  <w:num w:numId="3">
    <w:abstractNumId w:val="10"/>
  </w:num>
  <w:num w:numId="4">
    <w:abstractNumId w:val="16"/>
  </w:num>
  <w:num w:numId="5">
    <w:abstractNumId w:val="0"/>
    <w:lvlOverride w:ilvl="0">
      <w:lvl w:ilvl="0">
        <w:start w:val="1"/>
        <w:numFmt w:val="bullet"/>
        <w:lvlText w:val="-"/>
        <w:legacy w:legacy="1" w:legacySpace="0" w:legacyIndent="360"/>
        <w:lvlJc w:val="left"/>
        <w:pPr>
          <w:ind w:left="360" w:hanging="360"/>
        </w:pPr>
      </w:lvl>
    </w:lvlOverride>
  </w:num>
  <w:num w:numId="6">
    <w:abstractNumId w:val="12"/>
  </w:num>
  <w:num w:numId="7">
    <w:abstractNumId w:val="17"/>
  </w:num>
  <w:num w:numId="8">
    <w:abstractNumId w:val="2"/>
  </w:num>
  <w:num w:numId="9">
    <w:abstractNumId w:val="12"/>
  </w:num>
  <w:num w:numId="10">
    <w:abstractNumId w:val="12"/>
  </w:num>
  <w:num w:numId="11">
    <w:abstractNumId w:val="6"/>
  </w:num>
  <w:num w:numId="12">
    <w:abstractNumId w:val="12"/>
    <w:lvlOverride w:ilvl="0">
      <w:startOverride w:val="1"/>
    </w:lvlOverride>
  </w:num>
  <w:num w:numId="13">
    <w:abstractNumId w:val="12"/>
    <w:lvlOverride w:ilvl="0">
      <w:startOverride w:val="1"/>
    </w:lvlOverride>
  </w:num>
  <w:num w:numId="14">
    <w:abstractNumId w:val="7"/>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num>
  <w:num w:numId="20">
    <w:abstractNumId w:val="1"/>
  </w:num>
  <w:num w:numId="21">
    <w:abstractNumId w:val="15"/>
  </w:num>
  <w:num w:numId="22">
    <w:abstractNumId w:val="15"/>
  </w:num>
  <w:num w:numId="23">
    <w:abstractNumId w:val="12"/>
  </w:num>
  <w:num w:numId="24">
    <w:abstractNumId w:val="12"/>
  </w:num>
  <w:num w:numId="25">
    <w:abstractNumId w:val="12"/>
  </w:num>
  <w:num w:numId="26">
    <w:abstractNumId w:val="15"/>
  </w:num>
  <w:num w:numId="27">
    <w:abstractNumId w:val="12"/>
    <w:lvlOverride w:ilvl="0">
      <w:startOverride w:val="1"/>
    </w:lvlOverride>
  </w:num>
  <w:num w:numId="28">
    <w:abstractNumId w:val="12"/>
  </w:num>
  <w:num w:numId="29">
    <w:abstractNumId w:val="12"/>
  </w:num>
  <w:num w:numId="30">
    <w:abstractNumId w:val="12"/>
  </w:num>
  <w:num w:numId="31">
    <w:abstractNumId w:val="12"/>
  </w:num>
  <w:num w:numId="32">
    <w:abstractNumId w:val="11"/>
  </w:num>
  <w:num w:numId="33">
    <w:abstractNumId w:val="14"/>
  </w:num>
  <w:num w:numId="34">
    <w:abstractNumId w:val="8"/>
  </w:num>
  <w:num w:numId="35">
    <w:abstractNumId w:val="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12"/>
  </w:num>
  <w:num w:numId="40">
    <w:abstractNumId w:val="12"/>
  </w:num>
  <w:num w:numId="41">
    <w:abstractNumId w:val="12"/>
  </w:num>
  <w:num w:numId="42">
    <w:abstractNumId w:val="12"/>
  </w:num>
  <w:num w:numId="43">
    <w:abstractNumId w:val="13"/>
  </w:num>
  <w:num w:numId="44">
    <w:abstractNumId w:val="4"/>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E95128"/>
    <w:rsid w:val="00005C08"/>
    <w:rsid w:val="00005C24"/>
    <w:rsid w:val="000134B1"/>
    <w:rsid w:val="00017BBF"/>
    <w:rsid w:val="00020E54"/>
    <w:rsid w:val="00022CC3"/>
    <w:rsid w:val="000258A9"/>
    <w:rsid w:val="00027877"/>
    <w:rsid w:val="00027EF1"/>
    <w:rsid w:val="00031658"/>
    <w:rsid w:val="00040DAB"/>
    <w:rsid w:val="00042775"/>
    <w:rsid w:val="00044CDC"/>
    <w:rsid w:val="000600D6"/>
    <w:rsid w:val="0006112D"/>
    <w:rsid w:val="000658BA"/>
    <w:rsid w:val="00065A1C"/>
    <w:rsid w:val="0006636B"/>
    <w:rsid w:val="000676B2"/>
    <w:rsid w:val="00071820"/>
    <w:rsid w:val="0007263D"/>
    <w:rsid w:val="00073115"/>
    <w:rsid w:val="00085B51"/>
    <w:rsid w:val="00087815"/>
    <w:rsid w:val="00087F65"/>
    <w:rsid w:val="00087FD0"/>
    <w:rsid w:val="00091FE7"/>
    <w:rsid w:val="00096F56"/>
    <w:rsid w:val="000A17D8"/>
    <w:rsid w:val="000A34E8"/>
    <w:rsid w:val="000A6FBA"/>
    <w:rsid w:val="000B0825"/>
    <w:rsid w:val="000B1E1B"/>
    <w:rsid w:val="000B687F"/>
    <w:rsid w:val="000B7891"/>
    <w:rsid w:val="000C6F39"/>
    <w:rsid w:val="000D1EF0"/>
    <w:rsid w:val="000D30BA"/>
    <w:rsid w:val="000D3471"/>
    <w:rsid w:val="000D3B73"/>
    <w:rsid w:val="000D415F"/>
    <w:rsid w:val="000D6845"/>
    <w:rsid w:val="000E18DB"/>
    <w:rsid w:val="000E71EA"/>
    <w:rsid w:val="000F634B"/>
    <w:rsid w:val="0010073C"/>
    <w:rsid w:val="00104674"/>
    <w:rsid w:val="001109BF"/>
    <w:rsid w:val="00111674"/>
    <w:rsid w:val="00117EA1"/>
    <w:rsid w:val="00124886"/>
    <w:rsid w:val="0012577D"/>
    <w:rsid w:val="00127F90"/>
    <w:rsid w:val="00134230"/>
    <w:rsid w:val="0013530F"/>
    <w:rsid w:val="00141ADE"/>
    <w:rsid w:val="00142DDE"/>
    <w:rsid w:val="00145AFF"/>
    <w:rsid w:val="00150B96"/>
    <w:rsid w:val="00151ADA"/>
    <w:rsid w:val="00152ACE"/>
    <w:rsid w:val="00155EF5"/>
    <w:rsid w:val="00160AAA"/>
    <w:rsid w:val="00162059"/>
    <w:rsid w:val="001622AB"/>
    <w:rsid w:val="00164B94"/>
    <w:rsid w:val="00167134"/>
    <w:rsid w:val="00171D95"/>
    <w:rsid w:val="00172AF9"/>
    <w:rsid w:val="00175F9C"/>
    <w:rsid w:val="00177051"/>
    <w:rsid w:val="001779F4"/>
    <w:rsid w:val="00177ED2"/>
    <w:rsid w:val="00180A7D"/>
    <w:rsid w:val="001814FE"/>
    <w:rsid w:val="001863DE"/>
    <w:rsid w:val="00186931"/>
    <w:rsid w:val="00187D3A"/>
    <w:rsid w:val="001A6278"/>
    <w:rsid w:val="001B063D"/>
    <w:rsid w:val="001B3641"/>
    <w:rsid w:val="001B5754"/>
    <w:rsid w:val="001B7735"/>
    <w:rsid w:val="001C4B14"/>
    <w:rsid w:val="001C5AC5"/>
    <w:rsid w:val="001D181E"/>
    <w:rsid w:val="001D4082"/>
    <w:rsid w:val="001D50FF"/>
    <w:rsid w:val="001D6DC7"/>
    <w:rsid w:val="001E1AEC"/>
    <w:rsid w:val="001E4409"/>
    <w:rsid w:val="001E520B"/>
    <w:rsid w:val="001F2342"/>
    <w:rsid w:val="001F5ECF"/>
    <w:rsid w:val="001F6898"/>
    <w:rsid w:val="00202247"/>
    <w:rsid w:val="00204FCF"/>
    <w:rsid w:val="0020582F"/>
    <w:rsid w:val="00205EC2"/>
    <w:rsid w:val="00211B87"/>
    <w:rsid w:val="002121FF"/>
    <w:rsid w:val="00214BC1"/>
    <w:rsid w:val="002161A7"/>
    <w:rsid w:val="0021739B"/>
    <w:rsid w:val="00225988"/>
    <w:rsid w:val="002304B6"/>
    <w:rsid w:val="0023480A"/>
    <w:rsid w:val="00240F0C"/>
    <w:rsid w:val="002425FD"/>
    <w:rsid w:val="00242E74"/>
    <w:rsid w:val="00252994"/>
    <w:rsid w:val="0025303E"/>
    <w:rsid w:val="00260BC7"/>
    <w:rsid w:val="00267394"/>
    <w:rsid w:val="00270DBD"/>
    <w:rsid w:val="00276C05"/>
    <w:rsid w:val="0028448F"/>
    <w:rsid w:val="00285D1E"/>
    <w:rsid w:val="002862FC"/>
    <w:rsid w:val="002913BF"/>
    <w:rsid w:val="0029381C"/>
    <w:rsid w:val="002966E4"/>
    <w:rsid w:val="002A0F41"/>
    <w:rsid w:val="002A604F"/>
    <w:rsid w:val="002A7CDF"/>
    <w:rsid w:val="002B096A"/>
    <w:rsid w:val="002B2E36"/>
    <w:rsid w:val="002B5B62"/>
    <w:rsid w:val="002C0059"/>
    <w:rsid w:val="002C4171"/>
    <w:rsid w:val="002C4500"/>
    <w:rsid w:val="002C5AF1"/>
    <w:rsid w:val="002C7CAC"/>
    <w:rsid w:val="002D19E3"/>
    <w:rsid w:val="002D2122"/>
    <w:rsid w:val="002D35EC"/>
    <w:rsid w:val="002D50DF"/>
    <w:rsid w:val="002D75C4"/>
    <w:rsid w:val="002E0197"/>
    <w:rsid w:val="002E4EB2"/>
    <w:rsid w:val="002F0408"/>
    <w:rsid w:val="002F05C7"/>
    <w:rsid w:val="002F0FA2"/>
    <w:rsid w:val="002F3378"/>
    <w:rsid w:val="00301C73"/>
    <w:rsid w:val="00304960"/>
    <w:rsid w:val="00304CDA"/>
    <w:rsid w:val="00304F68"/>
    <w:rsid w:val="00312B47"/>
    <w:rsid w:val="003147AA"/>
    <w:rsid w:val="0031515A"/>
    <w:rsid w:val="003203F3"/>
    <w:rsid w:val="0032231F"/>
    <w:rsid w:val="00324EC5"/>
    <w:rsid w:val="00332261"/>
    <w:rsid w:val="003378E6"/>
    <w:rsid w:val="0034290F"/>
    <w:rsid w:val="00347C06"/>
    <w:rsid w:val="003526D2"/>
    <w:rsid w:val="00352A16"/>
    <w:rsid w:val="00354004"/>
    <w:rsid w:val="00363FD9"/>
    <w:rsid w:val="00365CE5"/>
    <w:rsid w:val="00367904"/>
    <w:rsid w:val="0037025C"/>
    <w:rsid w:val="00374E79"/>
    <w:rsid w:val="00380209"/>
    <w:rsid w:val="00380CF1"/>
    <w:rsid w:val="00380D18"/>
    <w:rsid w:val="00384D40"/>
    <w:rsid w:val="00391FEA"/>
    <w:rsid w:val="0039287F"/>
    <w:rsid w:val="003930E6"/>
    <w:rsid w:val="0039381F"/>
    <w:rsid w:val="00396F74"/>
    <w:rsid w:val="003A04C5"/>
    <w:rsid w:val="003A1D1D"/>
    <w:rsid w:val="003A3E9A"/>
    <w:rsid w:val="003B18D4"/>
    <w:rsid w:val="003B6B3F"/>
    <w:rsid w:val="003B6D7B"/>
    <w:rsid w:val="003D0FFA"/>
    <w:rsid w:val="003E0120"/>
    <w:rsid w:val="003E0283"/>
    <w:rsid w:val="003E211A"/>
    <w:rsid w:val="003E7CAD"/>
    <w:rsid w:val="003F27FB"/>
    <w:rsid w:val="00402D73"/>
    <w:rsid w:val="004031BE"/>
    <w:rsid w:val="00404CD0"/>
    <w:rsid w:val="004102C2"/>
    <w:rsid w:val="00416E6E"/>
    <w:rsid w:val="004208DB"/>
    <w:rsid w:val="004222CB"/>
    <w:rsid w:val="00422AC5"/>
    <w:rsid w:val="00425924"/>
    <w:rsid w:val="00433A66"/>
    <w:rsid w:val="00437546"/>
    <w:rsid w:val="004376B0"/>
    <w:rsid w:val="00437E5B"/>
    <w:rsid w:val="00445BE5"/>
    <w:rsid w:val="00446423"/>
    <w:rsid w:val="0044668E"/>
    <w:rsid w:val="00446982"/>
    <w:rsid w:val="004470DA"/>
    <w:rsid w:val="00447B82"/>
    <w:rsid w:val="00452D23"/>
    <w:rsid w:val="00453308"/>
    <w:rsid w:val="0045465E"/>
    <w:rsid w:val="00454D0D"/>
    <w:rsid w:val="00456EBE"/>
    <w:rsid w:val="00457DD3"/>
    <w:rsid w:val="004610FB"/>
    <w:rsid w:val="0046389D"/>
    <w:rsid w:val="004639B4"/>
    <w:rsid w:val="00477DC9"/>
    <w:rsid w:val="00477F45"/>
    <w:rsid w:val="00480B66"/>
    <w:rsid w:val="00483529"/>
    <w:rsid w:val="00487855"/>
    <w:rsid w:val="00493241"/>
    <w:rsid w:val="004A1358"/>
    <w:rsid w:val="004A6C40"/>
    <w:rsid w:val="004B19BC"/>
    <w:rsid w:val="004B3DA8"/>
    <w:rsid w:val="004B66B5"/>
    <w:rsid w:val="004C1EAD"/>
    <w:rsid w:val="004C5469"/>
    <w:rsid w:val="004D2644"/>
    <w:rsid w:val="004D4037"/>
    <w:rsid w:val="004D4506"/>
    <w:rsid w:val="004E0433"/>
    <w:rsid w:val="004E2E37"/>
    <w:rsid w:val="004E3686"/>
    <w:rsid w:val="004E4862"/>
    <w:rsid w:val="004E5FC8"/>
    <w:rsid w:val="004F3238"/>
    <w:rsid w:val="004F649B"/>
    <w:rsid w:val="00501459"/>
    <w:rsid w:val="00502571"/>
    <w:rsid w:val="00506E5A"/>
    <w:rsid w:val="00510F35"/>
    <w:rsid w:val="00525A02"/>
    <w:rsid w:val="00525A16"/>
    <w:rsid w:val="00536838"/>
    <w:rsid w:val="00542422"/>
    <w:rsid w:val="00542886"/>
    <w:rsid w:val="00544EDA"/>
    <w:rsid w:val="00547ACE"/>
    <w:rsid w:val="005506D2"/>
    <w:rsid w:val="005631DA"/>
    <w:rsid w:val="00563210"/>
    <w:rsid w:val="0057404F"/>
    <w:rsid w:val="00576CB5"/>
    <w:rsid w:val="00577059"/>
    <w:rsid w:val="00582014"/>
    <w:rsid w:val="0058356A"/>
    <w:rsid w:val="00583903"/>
    <w:rsid w:val="00585B18"/>
    <w:rsid w:val="00586771"/>
    <w:rsid w:val="00591F47"/>
    <w:rsid w:val="005935FF"/>
    <w:rsid w:val="0059782B"/>
    <w:rsid w:val="005978C8"/>
    <w:rsid w:val="005A1396"/>
    <w:rsid w:val="005A6DE7"/>
    <w:rsid w:val="005B1EF7"/>
    <w:rsid w:val="005B6AFF"/>
    <w:rsid w:val="005C5929"/>
    <w:rsid w:val="005C5993"/>
    <w:rsid w:val="005D1BAC"/>
    <w:rsid w:val="005D52C8"/>
    <w:rsid w:val="005E09B4"/>
    <w:rsid w:val="005E45AC"/>
    <w:rsid w:val="005E4F8C"/>
    <w:rsid w:val="005F0613"/>
    <w:rsid w:val="005F3BD1"/>
    <w:rsid w:val="00602A59"/>
    <w:rsid w:val="00606C7F"/>
    <w:rsid w:val="0062077E"/>
    <w:rsid w:val="00622E0B"/>
    <w:rsid w:val="00623C05"/>
    <w:rsid w:val="006246D7"/>
    <w:rsid w:val="006247D4"/>
    <w:rsid w:val="006247EF"/>
    <w:rsid w:val="0062727F"/>
    <w:rsid w:val="006337B9"/>
    <w:rsid w:val="006357B9"/>
    <w:rsid w:val="006413AE"/>
    <w:rsid w:val="0064692C"/>
    <w:rsid w:val="00655C59"/>
    <w:rsid w:val="00660BCA"/>
    <w:rsid w:val="00662414"/>
    <w:rsid w:val="006636A0"/>
    <w:rsid w:val="0066795C"/>
    <w:rsid w:val="006758BE"/>
    <w:rsid w:val="00677DE8"/>
    <w:rsid w:val="00682F91"/>
    <w:rsid w:val="006851A1"/>
    <w:rsid w:val="00687C63"/>
    <w:rsid w:val="00694931"/>
    <w:rsid w:val="00696182"/>
    <w:rsid w:val="00697F7C"/>
    <w:rsid w:val="006A333B"/>
    <w:rsid w:val="006A36F2"/>
    <w:rsid w:val="006A63EB"/>
    <w:rsid w:val="006A7964"/>
    <w:rsid w:val="006B1BC6"/>
    <w:rsid w:val="006B5795"/>
    <w:rsid w:val="006C79A9"/>
    <w:rsid w:val="006D2B99"/>
    <w:rsid w:val="006D4EC6"/>
    <w:rsid w:val="006D5204"/>
    <w:rsid w:val="006E11B5"/>
    <w:rsid w:val="006F09D4"/>
    <w:rsid w:val="006F1545"/>
    <w:rsid w:val="006F4BF4"/>
    <w:rsid w:val="006F5CA4"/>
    <w:rsid w:val="00701F03"/>
    <w:rsid w:val="0070250E"/>
    <w:rsid w:val="00704997"/>
    <w:rsid w:val="00704AEC"/>
    <w:rsid w:val="0071173F"/>
    <w:rsid w:val="007154ED"/>
    <w:rsid w:val="0071799A"/>
    <w:rsid w:val="00720004"/>
    <w:rsid w:val="00720393"/>
    <w:rsid w:val="0072269B"/>
    <w:rsid w:val="00726426"/>
    <w:rsid w:val="0072755B"/>
    <w:rsid w:val="0073205A"/>
    <w:rsid w:val="0073268C"/>
    <w:rsid w:val="007339A8"/>
    <w:rsid w:val="00734BAE"/>
    <w:rsid w:val="00740B68"/>
    <w:rsid w:val="0074562B"/>
    <w:rsid w:val="007537CB"/>
    <w:rsid w:val="00756A99"/>
    <w:rsid w:val="007570E2"/>
    <w:rsid w:val="00762623"/>
    <w:rsid w:val="007637D5"/>
    <w:rsid w:val="00767BF6"/>
    <w:rsid w:val="0077399F"/>
    <w:rsid w:val="00774405"/>
    <w:rsid w:val="0077556B"/>
    <w:rsid w:val="00780922"/>
    <w:rsid w:val="007858A8"/>
    <w:rsid w:val="00786FDB"/>
    <w:rsid w:val="007902B7"/>
    <w:rsid w:val="00791AEB"/>
    <w:rsid w:val="00796A9F"/>
    <w:rsid w:val="007A005F"/>
    <w:rsid w:val="007A171F"/>
    <w:rsid w:val="007A1BCA"/>
    <w:rsid w:val="007A4209"/>
    <w:rsid w:val="007C4188"/>
    <w:rsid w:val="007C5E1C"/>
    <w:rsid w:val="007D2D09"/>
    <w:rsid w:val="007D3761"/>
    <w:rsid w:val="007D6502"/>
    <w:rsid w:val="007E02DF"/>
    <w:rsid w:val="007E4E9F"/>
    <w:rsid w:val="007E7D8B"/>
    <w:rsid w:val="007F126C"/>
    <w:rsid w:val="007F544E"/>
    <w:rsid w:val="007F58CE"/>
    <w:rsid w:val="007F6EE8"/>
    <w:rsid w:val="0080135D"/>
    <w:rsid w:val="00803690"/>
    <w:rsid w:val="008054E8"/>
    <w:rsid w:val="00811BC9"/>
    <w:rsid w:val="00812B31"/>
    <w:rsid w:val="0081476A"/>
    <w:rsid w:val="00817A4C"/>
    <w:rsid w:val="00817E20"/>
    <w:rsid w:val="00822601"/>
    <w:rsid w:val="008270A6"/>
    <w:rsid w:val="00837FE6"/>
    <w:rsid w:val="0084599D"/>
    <w:rsid w:val="00847119"/>
    <w:rsid w:val="00851D2A"/>
    <w:rsid w:val="00854558"/>
    <w:rsid w:val="00860658"/>
    <w:rsid w:val="00860DA4"/>
    <w:rsid w:val="00860E4F"/>
    <w:rsid w:val="00867FDE"/>
    <w:rsid w:val="008720BB"/>
    <w:rsid w:val="00874AF7"/>
    <w:rsid w:val="008762F1"/>
    <w:rsid w:val="00885CF1"/>
    <w:rsid w:val="00885F2F"/>
    <w:rsid w:val="00886667"/>
    <w:rsid w:val="00890B54"/>
    <w:rsid w:val="008B070C"/>
    <w:rsid w:val="008B1BAB"/>
    <w:rsid w:val="008B56BB"/>
    <w:rsid w:val="008C0C98"/>
    <w:rsid w:val="008C1638"/>
    <w:rsid w:val="008C636C"/>
    <w:rsid w:val="008C74FA"/>
    <w:rsid w:val="008C782B"/>
    <w:rsid w:val="008D499B"/>
    <w:rsid w:val="008D610A"/>
    <w:rsid w:val="008D7DB3"/>
    <w:rsid w:val="008E04AE"/>
    <w:rsid w:val="008E4A64"/>
    <w:rsid w:val="008F4378"/>
    <w:rsid w:val="008F71B5"/>
    <w:rsid w:val="008F7B86"/>
    <w:rsid w:val="00901F83"/>
    <w:rsid w:val="00902E41"/>
    <w:rsid w:val="00904F11"/>
    <w:rsid w:val="009078CD"/>
    <w:rsid w:val="00907B1D"/>
    <w:rsid w:val="0091416D"/>
    <w:rsid w:val="009152DD"/>
    <w:rsid w:val="0093233E"/>
    <w:rsid w:val="0093372E"/>
    <w:rsid w:val="00936BD7"/>
    <w:rsid w:val="009377EB"/>
    <w:rsid w:val="00941667"/>
    <w:rsid w:val="009441EB"/>
    <w:rsid w:val="009443D3"/>
    <w:rsid w:val="00944FA7"/>
    <w:rsid w:val="0094586A"/>
    <w:rsid w:val="00952E57"/>
    <w:rsid w:val="00953373"/>
    <w:rsid w:val="009547CF"/>
    <w:rsid w:val="00956CBA"/>
    <w:rsid w:val="00962CB5"/>
    <w:rsid w:val="00970D58"/>
    <w:rsid w:val="00972CF6"/>
    <w:rsid w:val="009743BF"/>
    <w:rsid w:val="0097574F"/>
    <w:rsid w:val="00976849"/>
    <w:rsid w:val="00984464"/>
    <w:rsid w:val="00992AB0"/>
    <w:rsid w:val="009A1811"/>
    <w:rsid w:val="009A28F9"/>
    <w:rsid w:val="009A7F8F"/>
    <w:rsid w:val="009B0BA2"/>
    <w:rsid w:val="009B2B9E"/>
    <w:rsid w:val="009B66DE"/>
    <w:rsid w:val="009B7785"/>
    <w:rsid w:val="009C4A76"/>
    <w:rsid w:val="009D0700"/>
    <w:rsid w:val="009D080A"/>
    <w:rsid w:val="009D0D32"/>
    <w:rsid w:val="009D1A04"/>
    <w:rsid w:val="009D5C49"/>
    <w:rsid w:val="009D7197"/>
    <w:rsid w:val="009E22C5"/>
    <w:rsid w:val="009F697A"/>
    <w:rsid w:val="009F7D20"/>
    <w:rsid w:val="00A0068F"/>
    <w:rsid w:val="00A11912"/>
    <w:rsid w:val="00A11A42"/>
    <w:rsid w:val="00A1473C"/>
    <w:rsid w:val="00A15BC6"/>
    <w:rsid w:val="00A247A4"/>
    <w:rsid w:val="00A25722"/>
    <w:rsid w:val="00A308FD"/>
    <w:rsid w:val="00A40865"/>
    <w:rsid w:val="00A435A5"/>
    <w:rsid w:val="00A56B6C"/>
    <w:rsid w:val="00A629C9"/>
    <w:rsid w:val="00A657A4"/>
    <w:rsid w:val="00A66BA5"/>
    <w:rsid w:val="00A671F9"/>
    <w:rsid w:val="00A71E0C"/>
    <w:rsid w:val="00A81264"/>
    <w:rsid w:val="00A8348C"/>
    <w:rsid w:val="00A85BE6"/>
    <w:rsid w:val="00AA162C"/>
    <w:rsid w:val="00AB03C1"/>
    <w:rsid w:val="00AB670F"/>
    <w:rsid w:val="00AB69D9"/>
    <w:rsid w:val="00AC0D5A"/>
    <w:rsid w:val="00AC4340"/>
    <w:rsid w:val="00AC507A"/>
    <w:rsid w:val="00AC77EA"/>
    <w:rsid w:val="00AD2C07"/>
    <w:rsid w:val="00AD6F5D"/>
    <w:rsid w:val="00AE05F8"/>
    <w:rsid w:val="00AE1936"/>
    <w:rsid w:val="00AF1AAA"/>
    <w:rsid w:val="00AF1C54"/>
    <w:rsid w:val="00AF5787"/>
    <w:rsid w:val="00B01E0B"/>
    <w:rsid w:val="00B07DFB"/>
    <w:rsid w:val="00B12204"/>
    <w:rsid w:val="00B16AF1"/>
    <w:rsid w:val="00B22E34"/>
    <w:rsid w:val="00B22FC7"/>
    <w:rsid w:val="00B235D7"/>
    <w:rsid w:val="00B2446C"/>
    <w:rsid w:val="00B30EB7"/>
    <w:rsid w:val="00B3123E"/>
    <w:rsid w:val="00B32184"/>
    <w:rsid w:val="00B40F39"/>
    <w:rsid w:val="00B4289C"/>
    <w:rsid w:val="00B430D3"/>
    <w:rsid w:val="00B4554C"/>
    <w:rsid w:val="00B46EA1"/>
    <w:rsid w:val="00B5145A"/>
    <w:rsid w:val="00B51D94"/>
    <w:rsid w:val="00B53C43"/>
    <w:rsid w:val="00B55A09"/>
    <w:rsid w:val="00B63185"/>
    <w:rsid w:val="00B645A6"/>
    <w:rsid w:val="00B66BB9"/>
    <w:rsid w:val="00B7005E"/>
    <w:rsid w:val="00B72581"/>
    <w:rsid w:val="00B75EA7"/>
    <w:rsid w:val="00B7765E"/>
    <w:rsid w:val="00B823AB"/>
    <w:rsid w:val="00B82621"/>
    <w:rsid w:val="00B91CF8"/>
    <w:rsid w:val="00B92A83"/>
    <w:rsid w:val="00B94189"/>
    <w:rsid w:val="00B94584"/>
    <w:rsid w:val="00B949BE"/>
    <w:rsid w:val="00BA3314"/>
    <w:rsid w:val="00BA678A"/>
    <w:rsid w:val="00BB07FE"/>
    <w:rsid w:val="00BB0E2D"/>
    <w:rsid w:val="00BB102B"/>
    <w:rsid w:val="00BB18C8"/>
    <w:rsid w:val="00BB3036"/>
    <w:rsid w:val="00BB3662"/>
    <w:rsid w:val="00BC1B4E"/>
    <w:rsid w:val="00BC6DED"/>
    <w:rsid w:val="00BD37AB"/>
    <w:rsid w:val="00BE282D"/>
    <w:rsid w:val="00BE2D5F"/>
    <w:rsid w:val="00BE56E6"/>
    <w:rsid w:val="00BF7DE7"/>
    <w:rsid w:val="00C023E2"/>
    <w:rsid w:val="00C0257D"/>
    <w:rsid w:val="00C02828"/>
    <w:rsid w:val="00C115F1"/>
    <w:rsid w:val="00C15AAD"/>
    <w:rsid w:val="00C16C11"/>
    <w:rsid w:val="00C17A50"/>
    <w:rsid w:val="00C20BD5"/>
    <w:rsid w:val="00C22614"/>
    <w:rsid w:val="00C25CB0"/>
    <w:rsid w:val="00C35F63"/>
    <w:rsid w:val="00C45370"/>
    <w:rsid w:val="00C4788D"/>
    <w:rsid w:val="00C505D6"/>
    <w:rsid w:val="00C51B54"/>
    <w:rsid w:val="00C539AF"/>
    <w:rsid w:val="00C564AD"/>
    <w:rsid w:val="00C57672"/>
    <w:rsid w:val="00C578CA"/>
    <w:rsid w:val="00C57DDF"/>
    <w:rsid w:val="00C614EE"/>
    <w:rsid w:val="00C626E1"/>
    <w:rsid w:val="00C740BD"/>
    <w:rsid w:val="00C76D54"/>
    <w:rsid w:val="00C76D6A"/>
    <w:rsid w:val="00C94FB8"/>
    <w:rsid w:val="00C974C7"/>
    <w:rsid w:val="00CA1B1A"/>
    <w:rsid w:val="00CA395C"/>
    <w:rsid w:val="00CA4528"/>
    <w:rsid w:val="00CA5DC3"/>
    <w:rsid w:val="00CB0CD3"/>
    <w:rsid w:val="00CB210A"/>
    <w:rsid w:val="00CB30DF"/>
    <w:rsid w:val="00CB3140"/>
    <w:rsid w:val="00CB31EC"/>
    <w:rsid w:val="00CC163D"/>
    <w:rsid w:val="00CC6FB7"/>
    <w:rsid w:val="00CD49F7"/>
    <w:rsid w:val="00CD4E0C"/>
    <w:rsid w:val="00CD7E7C"/>
    <w:rsid w:val="00D01197"/>
    <w:rsid w:val="00D01DE0"/>
    <w:rsid w:val="00D04D91"/>
    <w:rsid w:val="00D10EE4"/>
    <w:rsid w:val="00D12069"/>
    <w:rsid w:val="00D1702A"/>
    <w:rsid w:val="00D17A89"/>
    <w:rsid w:val="00D20AB6"/>
    <w:rsid w:val="00D21CF8"/>
    <w:rsid w:val="00D23EB0"/>
    <w:rsid w:val="00D25DA2"/>
    <w:rsid w:val="00D26877"/>
    <w:rsid w:val="00D313DC"/>
    <w:rsid w:val="00D33C4D"/>
    <w:rsid w:val="00D353D4"/>
    <w:rsid w:val="00D36C6F"/>
    <w:rsid w:val="00D422DB"/>
    <w:rsid w:val="00D55CD4"/>
    <w:rsid w:val="00D56414"/>
    <w:rsid w:val="00D57187"/>
    <w:rsid w:val="00D60438"/>
    <w:rsid w:val="00D634C0"/>
    <w:rsid w:val="00D72768"/>
    <w:rsid w:val="00D73667"/>
    <w:rsid w:val="00D740B6"/>
    <w:rsid w:val="00D753DD"/>
    <w:rsid w:val="00D81E76"/>
    <w:rsid w:val="00D8585A"/>
    <w:rsid w:val="00D8680E"/>
    <w:rsid w:val="00D91BEC"/>
    <w:rsid w:val="00D91E63"/>
    <w:rsid w:val="00D93E01"/>
    <w:rsid w:val="00D96883"/>
    <w:rsid w:val="00D97944"/>
    <w:rsid w:val="00D97BB9"/>
    <w:rsid w:val="00DA08B3"/>
    <w:rsid w:val="00DA1A6C"/>
    <w:rsid w:val="00DA2C58"/>
    <w:rsid w:val="00DA3534"/>
    <w:rsid w:val="00DA6723"/>
    <w:rsid w:val="00DA6BBA"/>
    <w:rsid w:val="00DB0A00"/>
    <w:rsid w:val="00DB2C88"/>
    <w:rsid w:val="00DB33C6"/>
    <w:rsid w:val="00DB7033"/>
    <w:rsid w:val="00DD0E32"/>
    <w:rsid w:val="00DD2633"/>
    <w:rsid w:val="00DD2994"/>
    <w:rsid w:val="00DD3883"/>
    <w:rsid w:val="00DD43B0"/>
    <w:rsid w:val="00DE16DE"/>
    <w:rsid w:val="00DE1D1A"/>
    <w:rsid w:val="00DE3DD4"/>
    <w:rsid w:val="00DF1480"/>
    <w:rsid w:val="00DF2CB8"/>
    <w:rsid w:val="00DF3439"/>
    <w:rsid w:val="00DF4AC0"/>
    <w:rsid w:val="00E00091"/>
    <w:rsid w:val="00E10318"/>
    <w:rsid w:val="00E1164F"/>
    <w:rsid w:val="00E155F2"/>
    <w:rsid w:val="00E22776"/>
    <w:rsid w:val="00E249D9"/>
    <w:rsid w:val="00E27389"/>
    <w:rsid w:val="00E35D04"/>
    <w:rsid w:val="00E44D9F"/>
    <w:rsid w:val="00E45A00"/>
    <w:rsid w:val="00E5037F"/>
    <w:rsid w:val="00E517CB"/>
    <w:rsid w:val="00E54506"/>
    <w:rsid w:val="00E61D40"/>
    <w:rsid w:val="00E62FDA"/>
    <w:rsid w:val="00E700DD"/>
    <w:rsid w:val="00E72AC3"/>
    <w:rsid w:val="00E736D2"/>
    <w:rsid w:val="00E7678A"/>
    <w:rsid w:val="00E82945"/>
    <w:rsid w:val="00E83440"/>
    <w:rsid w:val="00E906D9"/>
    <w:rsid w:val="00E90AFE"/>
    <w:rsid w:val="00E91F73"/>
    <w:rsid w:val="00E92403"/>
    <w:rsid w:val="00E9316F"/>
    <w:rsid w:val="00E944DE"/>
    <w:rsid w:val="00E95128"/>
    <w:rsid w:val="00E95B69"/>
    <w:rsid w:val="00E95EFD"/>
    <w:rsid w:val="00EA330F"/>
    <w:rsid w:val="00EA4A4A"/>
    <w:rsid w:val="00EA79C4"/>
    <w:rsid w:val="00EA7B8D"/>
    <w:rsid w:val="00EB0931"/>
    <w:rsid w:val="00EB0D3C"/>
    <w:rsid w:val="00EB1B30"/>
    <w:rsid w:val="00EC0AEF"/>
    <w:rsid w:val="00EC59CA"/>
    <w:rsid w:val="00EC6F6F"/>
    <w:rsid w:val="00ED2EC1"/>
    <w:rsid w:val="00EE6057"/>
    <w:rsid w:val="00EF0ECE"/>
    <w:rsid w:val="00EF663B"/>
    <w:rsid w:val="00F01166"/>
    <w:rsid w:val="00F041E1"/>
    <w:rsid w:val="00F0507A"/>
    <w:rsid w:val="00F108FC"/>
    <w:rsid w:val="00F10E0E"/>
    <w:rsid w:val="00F23682"/>
    <w:rsid w:val="00F255B4"/>
    <w:rsid w:val="00F33D74"/>
    <w:rsid w:val="00F35FDF"/>
    <w:rsid w:val="00F41188"/>
    <w:rsid w:val="00F450BF"/>
    <w:rsid w:val="00F46027"/>
    <w:rsid w:val="00F50687"/>
    <w:rsid w:val="00F50F00"/>
    <w:rsid w:val="00F534C6"/>
    <w:rsid w:val="00F61EAB"/>
    <w:rsid w:val="00F62C86"/>
    <w:rsid w:val="00F63991"/>
    <w:rsid w:val="00F70C00"/>
    <w:rsid w:val="00F727FD"/>
    <w:rsid w:val="00F75A6A"/>
    <w:rsid w:val="00F75DF5"/>
    <w:rsid w:val="00F807D3"/>
    <w:rsid w:val="00F80859"/>
    <w:rsid w:val="00F8179F"/>
    <w:rsid w:val="00F832E9"/>
    <w:rsid w:val="00F83C3D"/>
    <w:rsid w:val="00F85EF2"/>
    <w:rsid w:val="00F86162"/>
    <w:rsid w:val="00F869ED"/>
    <w:rsid w:val="00F96326"/>
    <w:rsid w:val="00FA1252"/>
    <w:rsid w:val="00FA30C8"/>
    <w:rsid w:val="00FA4DB2"/>
    <w:rsid w:val="00FA51BB"/>
    <w:rsid w:val="00FB7F44"/>
    <w:rsid w:val="00FC753D"/>
    <w:rsid w:val="00FC7D0B"/>
    <w:rsid w:val="00FD0785"/>
    <w:rsid w:val="00FD1AA4"/>
    <w:rsid w:val="00FD3B1D"/>
    <w:rsid w:val="00FD44E7"/>
    <w:rsid w:val="00FD5DD5"/>
    <w:rsid w:val="00FE0EE4"/>
    <w:rsid w:val="00FE20C0"/>
    <w:rsid w:val="00FE213E"/>
    <w:rsid w:val="00FF59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5128"/>
    <w:pPr>
      <w:keepNext/>
      <w:numPr>
        <w:numId w:val="1"/>
      </w:numPr>
      <w:outlineLvl w:val="0"/>
    </w:pPr>
    <w:rPr>
      <w:b/>
      <w:caps/>
      <w:sz w:val="18"/>
    </w:rPr>
  </w:style>
  <w:style w:type="paragraph" w:styleId="Heading2">
    <w:name w:val="heading 2"/>
    <w:basedOn w:val="Normal"/>
    <w:next w:val="Normal"/>
    <w:link w:val="Heading2Char"/>
    <w:qFormat/>
    <w:rsid w:val="00E95128"/>
    <w:pPr>
      <w:keepNext/>
      <w:numPr>
        <w:numId w:val="2"/>
      </w:numPr>
      <w:outlineLvl w:val="1"/>
    </w:pPr>
    <w:rPr>
      <w:b/>
      <w:sz w:val="18"/>
    </w:rPr>
  </w:style>
  <w:style w:type="paragraph" w:styleId="Heading6">
    <w:name w:val="heading 6"/>
    <w:basedOn w:val="Normal"/>
    <w:next w:val="Normal"/>
    <w:link w:val="Heading6Char"/>
    <w:qFormat/>
    <w:rsid w:val="00E95128"/>
    <w:pPr>
      <w:keepNext/>
      <w:outlineLvl w:val="5"/>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128"/>
    <w:pPr>
      <w:tabs>
        <w:tab w:val="center" w:pos="4536"/>
        <w:tab w:val="right" w:pos="9072"/>
      </w:tabs>
    </w:pPr>
  </w:style>
  <w:style w:type="character" w:customStyle="1" w:styleId="HeaderChar">
    <w:name w:val="Header Char"/>
    <w:basedOn w:val="DefaultParagraphFont"/>
    <w:link w:val="Header"/>
    <w:rsid w:val="00E95128"/>
  </w:style>
  <w:style w:type="paragraph" w:styleId="Footer">
    <w:name w:val="footer"/>
    <w:basedOn w:val="Normal"/>
    <w:link w:val="FooterChar"/>
    <w:uiPriority w:val="99"/>
    <w:unhideWhenUsed/>
    <w:rsid w:val="00E95128"/>
    <w:pPr>
      <w:tabs>
        <w:tab w:val="center" w:pos="4536"/>
        <w:tab w:val="right" w:pos="9072"/>
      </w:tabs>
    </w:pPr>
  </w:style>
  <w:style w:type="character" w:customStyle="1" w:styleId="FooterChar">
    <w:name w:val="Footer Char"/>
    <w:basedOn w:val="DefaultParagraphFont"/>
    <w:link w:val="Footer"/>
    <w:uiPriority w:val="99"/>
    <w:rsid w:val="00E95128"/>
  </w:style>
  <w:style w:type="character" w:styleId="PageNumber">
    <w:name w:val="page number"/>
    <w:basedOn w:val="DefaultParagraphFont"/>
    <w:rsid w:val="00E95128"/>
    <w:rPr>
      <w:rFonts w:cs="Times New Roman"/>
    </w:rPr>
  </w:style>
  <w:style w:type="character" w:customStyle="1" w:styleId="Heading1Char">
    <w:name w:val="Heading 1 Char"/>
    <w:basedOn w:val="DefaultParagraphFont"/>
    <w:link w:val="Heading1"/>
    <w:rsid w:val="00E95128"/>
    <w:rPr>
      <w:rFonts w:ascii="Times New Roman" w:eastAsia="Times New Roman" w:hAnsi="Times New Roman" w:cs="Times New Roman"/>
      <w:b/>
      <w:caps/>
      <w:sz w:val="18"/>
      <w:szCs w:val="20"/>
    </w:rPr>
  </w:style>
  <w:style w:type="character" w:customStyle="1" w:styleId="Heading2Char">
    <w:name w:val="Heading 2 Char"/>
    <w:basedOn w:val="DefaultParagraphFont"/>
    <w:link w:val="Heading2"/>
    <w:rsid w:val="00E95128"/>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E95128"/>
    <w:rPr>
      <w:rFonts w:ascii="Times New Roman" w:eastAsia="Times New Roman" w:hAnsi="Times New Roman" w:cs="Times New Roman"/>
      <w:b/>
      <w:caps/>
      <w:sz w:val="32"/>
      <w:szCs w:val="20"/>
    </w:rPr>
  </w:style>
  <w:style w:type="paragraph" w:styleId="BodyText">
    <w:name w:val="Body Text"/>
    <w:basedOn w:val="Normal"/>
    <w:link w:val="BodyTextChar"/>
    <w:rsid w:val="00E95128"/>
    <w:pPr>
      <w:ind w:left="426"/>
      <w:jc w:val="both"/>
    </w:pPr>
    <w:rPr>
      <w:sz w:val="18"/>
    </w:rPr>
  </w:style>
  <w:style w:type="character" w:customStyle="1" w:styleId="BodyTextChar">
    <w:name w:val="Body Text Char"/>
    <w:basedOn w:val="DefaultParagraphFont"/>
    <w:link w:val="BodyText"/>
    <w:rsid w:val="00E95128"/>
    <w:rPr>
      <w:rFonts w:ascii="Times New Roman" w:eastAsia="Times New Roman" w:hAnsi="Times New Roman" w:cs="Times New Roman"/>
      <w:sz w:val="18"/>
      <w:szCs w:val="20"/>
    </w:rPr>
  </w:style>
  <w:style w:type="paragraph" w:customStyle="1" w:styleId="Uvod">
    <w:name w:val="Uvod"/>
    <w:basedOn w:val="Normal"/>
    <w:rsid w:val="00E95128"/>
    <w:pPr>
      <w:ind w:left="284" w:hanging="284"/>
      <w:jc w:val="both"/>
    </w:pPr>
    <w:rPr>
      <w:sz w:val="22"/>
    </w:rPr>
  </w:style>
  <w:style w:type="character" w:styleId="FootnoteReference">
    <w:name w:val="footnote reference"/>
    <w:basedOn w:val="DefaultParagraphFont"/>
    <w:semiHidden/>
    <w:rsid w:val="00E95128"/>
    <w:rPr>
      <w:rFonts w:cs="Times New Roman"/>
      <w:position w:val="6"/>
      <w:sz w:val="16"/>
      <w:szCs w:val="16"/>
    </w:rPr>
  </w:style>
  <w:style w:type="paragraph" w:customStyle="1" w:styleId="lita">
    <w:name w:val="lit_a"/>
    <w:basedOn w:val="Normal"/>
    <w:rsid w:val="00E95128"/>
    <w:pPr>
      <w:spacing w:after="20"/>
      <w:ind w:left="624" w:hanging="340"/>
      <w:jc w:val="both"/>
    </w:pPr>
    <w:rPr>
      <w:rFonts w:ascii="Times" w:hAnsi="Times"/>
      <w:lang w:val="en-US"/>
    </w:rPr>
  </w:style>
  <w:style w:type="paragraph" w:customStyle="1" w:styleId="zif">
    <w:name w:val="zif"/>
    <w:basedOn w:val="Normal"/>
    <w:link w:val="zifChar"/>
    <w:rsid w:val="00E95128"/>
    <w:pPr>
      <w:tabs>
        <w:tab w:val="left" w:pos="620"/>
      </w:tabs>
      <w:spacing w:after="80"/>
      <w:jc w:val="both"/>
    </w:pPr>
    <w:rPr>
      <w:rFonts w:ascii="Times" w:hAnsi="Times"/>
      <w:lang w:val="en-US"/>
    </w:rPr>
  </w:style>
  <w:style w:type="character" w:customStyle="1" w:styleId="zifChar">
    <w:name w:val="zif Char"/>
    <w:basedOn w:val="DefaultParagraphFont"/>
    <w:link w:val="zif"/>
    <w:locked/>
    <w:rsid w:val="00E95128"/>
    <w:rPr>
      <w:rFonts w:ascii="Times" w:eastAsia="Times New Roman" w:hAnsi="Times" w:cs="Times New Roman"/>
      <w:sz w:val="20"/>
      <w:szCs w:val="20"/>
      <w:lang w:val="en-US"/>
    </w:rPr>
  </w:style>
  <w:style w:type="paragraph" w:styleId="ListParagraph">
    <w:name w:val="List Paragraph"/>
    <w:basedOn w:val="Normal"/>
    <w:uiPriority w:val="34"/>
    <w:qFormat/>
    <w:rsid w:val="00E95128"/>
    <w:pPr>
      <w:ind w:left="708"/>
    </w:pPr>
  </w:style>
  <w:style w:type="paragraph" w:customStyle="1" w:styleId="Tabulka">
    <w:name w:val="Tabulka"/>
    <w:basedOn w:val="Normal"/>
    <w:rsid w:val="00160AAA"/>
    <w:rPr>
      <w:color w:val="000000"/>
      <w:sz w:val="18"/>
    </w:rPr>
  </w:style>
  <w:style w:type="paragraph" w:customStyle="1" w:styleId="Pismenka">
    <w:name w:val="Pismenka"/>
    <w:basedOn w:val="BodyText"/>
    <w:rsid w:val="00160AAA"/>
    <w:pPr>
      <w:numPr>
        <w:numId w:val="7"/>
      </w:numPr>
      <w:tabs>
        <w:tab w:val="clear" w:pos="360"/>
        <w:tab w:val="num" w:pos="426"/>
      </w:tabs>
      <w:ind w:hanging="426"/>
    </w:pPr>
    <w:rPr>
      <w:b/>
    </w:rPr>
  </w:style>
  <w:style w:type="paragraph" w:styleId="BalloonText">
    <w:name w:val="Balloon Text"/>
    <w:basedOn w:val="Normal"/>
    <w:link w:val="BalloonTextChar"/>
    <w:uiPriority w:val="99"/>
    <w:semiHidden/>
    <w:unhideWhenUsed/>
    <w:rsid w:val="00F23682"/>
    <w:rPr>
      <w:rFonts w:ascii="Tahoma" w:hAnsi="Tahoma" w:cs="Tahoma"/>
      <w:sz w:val="16"/>
      <w:szCs w:val="16"/>
    </w:rPr>
  </w:style>
  <w:style w:type="character" w:customStyle="1" w:styleId="BalloonTextChar">
    <w:name w:val="Balloon Text Char"/>
    <w:basedOn w:val="DefaultParagraphFont"/>
    <w:link w:val="BalloonText"/>
    <w:uiPriority w:val="99"/>
    <w:semiHidden/>
    <w:rsid w:val="00F23682"/>
    <w:rPr>
      <w:rFonts w:ascii="Tahoma" w:eastAsia="Times New Roman" w:hAnsi="Tahoma" w:cs="Tahoma"/>
      <w:sz w:val="16"/>
      <w:szCs w:val="16"/>
    </w:rPr>
  </w:style>
  <w:style w:type="paragraph" w:customStyle="1" w:styleId="lit-zifa1">
    <w:name w:val="lit-zifa1"/>
    <w:basedOn w:val="Normal"/>
    <w:rsid w:val="007C4188"/>
    <w:pPr>
      <w:ind w:left="1920" w:right="-468" w:hanging="480"/>
    </w:pPr>
    <w:rPr>
      <w:b/>
      <w:bCs/>
      <w:sz w:val="22"/>
      <w:szCs w:val="24"/>
      <w:lang w:val="de-DE" w:eastAsia="sk-SK"/>
    </w:rPr>
  </w:style>
  <w:style w:type="character" w:styleId="Hyperlink">
    <w:name w:val="Hyperlink"/>
    <w:basedOn w:val="DefaultParagraphFont"/>
    <w:uiPriority w:val="99"/>
    <w:unhideWhenUsed/>
    <w:rsid w:val="00CC6FB7"/>
    <w:rPr>
      <w:color w:val="0000FF" w:themeColor="hyperlink"/>
      <w:u w:val="single"/>
    </w:rPr>
  </w:style>
  <w:style w:type="character" w:styleId="CommentReference">
    <w:name w:val="annotation reference"/>
    <w:basedOn w:val="DefaultParagraphFont"/>
    <w:uiPriority w:val="99"/>
    <w:semiHidden/>
    <w:unhideWhenUsed/>
    <w:rsid w:val="00D21CF8"/>
    <w:rPr>
      <w:sz w:val="16"/>
      <w:szCs w:val="16"/>
    </w:rPr>
  </w:style>
  <w:style w:type="paragraph" w:styleId="CommentText">
    <w:name w:val="annotation text"/>
    <w:basedOn w:val="Normal"/>
    <w:link w:val="CommentTextChar"/>
    <w:uiPriority w:val="99"/>
    <w:semiHidden/>
    <w:unhideWhenUsed/>
    <w:rsid w:val="00D21CF8"/>
  </w:style>
  <w:style w:type="character" w:customStyle="1" w:styleId="CommentTextChar">
    <w:name w:val="Comment Text Char"/>
    <w:basedOn w:val="DefaultParagraphFont"/>
    <w:link w:val="CommentText"/>
    <w:uiPriority w:val="99"/>
    <w:semiHidden/>
    <w:rsid w:val="00D21C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CF8"/>
    <w:rPr>
      <w:b/>
      <w:bCs/>
    </w:rPr>
  </w:style>
  <w:style w:type="character" w:customStyle="1" w:styleId="CommentSubjectChar">
    <w:name w:val="Comment Subject Char"/>
    <w:basedOn w:val="CommentTextChar"/>
    <w:link w:val="CommentSubject"/>
    <w:uiPriority w:val="99"/>
    <w:semiHidden/>
    <w:rsid w:val="00D21CF8"/>
    <w:rPr>
      <w:b/>
      <w:bCs/>
    </w:rPr>
  </w:style>
  <w:style w:type="paragraph" w:styleId="FootnoteText">
    <w:name w:val="footnote text"/>
    <w:basedOn w:val="Normal"/>
    <w:link w:val="FootnoteTextChar"/>
    <w:semiHidden/>
    <w:rsid w:val="004B19BC"/>
    <w:pPr>
      <w:spacing w:after="40"/>
      <w:ind w:left="520" w:hanging="520"/>
      <w:jc w:val="both"/>
    </w:pPr>
    <w:rPr>
      <w:rFonts w:ascii="Times" w:hAnsi="Times" w:cs="Times"/>
      <w:lang w:val="en-US"/>
    </w:rPr>
  </w:style>
  <w:style w:type="character" w:customStyle="1" w:styleId="FootnoteTextChar">
    <w:name w:val="Footnote Text Char"/>
    <w:basedOn w:val="DefaultParagraphFont"/>
    <w:link w:val="FootnoteText"/>
    <w:semiHidden/>
    <w:rsid w:val="004B19BC"/>
    <w:rPr>
      <w:rFonts w:ascii="Times" w:eastAsia="Times New Roman" w:hAnsi="Times" w:cs="Times"/>
      <w:sz w:val="20"/>
      <w:szCs w:val="20"/>
      <w:lang w:val="en-US"/>
    </w:rPr>
  </w:style>
  <w:style w:type="paragraph" w:customStyle="1" w:styleId="tabelLinks">
    <w:name w:val="tabelLinks"/>
    <w:basedOn w:val="Normal"/>
    <w:rsid w:val="00DA6BBA"/>
    <w:pPr>
      <w:spacing w:line="260" w:lineRule="exact"/>
    </w:pPr>
    <w:rPr>
      <w:rFonts w:ascii="Times" w:hAnsi="Times"/>
      <w:sz w:val="18"/>
      <w:lang w:val="en-GB"/>
    </w:rPr>
  </w:style>
</w:styles>
</file>

<file path=word/webSettings.xml><?xml version="1.0" encoding="utf-8"?>
<w:webSettings xmlns:r="http://schemas.openxmlformats.org/officeDocument/2006/relationships" xmlns:w="http://schemas.openxmlformats.org/wordprocessingml/2006/main">
  <w:divs>
    <w:div w:id="196434669">
      <w:bodyDiv w:val="1"/>
      <w:marLeft w:val="0"/>
      <w:marRight w:val="0"/>
      <w:marTop w:val="0"/>
      <w:marBottom w:val="0"/>
      <w:divBdr>
        <w:top w:val="none" w:sz="0" w:space="0" w:color="auto"/>
        <w:left w:val="none" w:sz="0" w:space="0" w:color="auto"/>
        <w:bottom w:val="none" w:sz="0" w:space="0" w:color="auto"/>
        <w:right w:val="none" w:sz="0" w:space="0" w:color="auto"/>
      </w:divBdr>
    </w:div>
    <w:div w:id="492642052">
      <w:bodyDiv w:val="1"/>
      <w:marLeft w:val="0"/>
      <w:marRight w:val="0"/>
      <w:marTop w:val="0"/>
      <w:marBottom w:val="0"/>
      <w:divBdr>
        <w:top w:val="none" w:sz="0" w:space="0" w:color="auto"/>
        <w:left w:val="none" w:sz="0" w:space="0" w:color="auto"/>
        <w:bottom w:val="none" w:sz="0" w:space="0" w:color="auto"/>
        <w:right w:val="none" w:sz="0" w:space="0" w:color="auto"/>
      </w:divBdr>
    </w:div>
    <w:div w:id="728456013">
      <w:bodyDiv w:val="1"/>
      <w:marLeft w:val="0"/>
      <w:marRight w:val="0"/>
      <w:marTop w:val="0"/>
      <w:marBottom w:val="0"/>
      <w:divBdr>
        <w:top w:val="none" w:sz="0" w:space="0" w:color="auto"/>
        <w:left w:val="none" w:sz="0" w:space="0" w:color="auto"/>
        <w:bottom w:val="none" w:sz="0" w:space="0" w:color="auto"/>
        <w:right w:val="none" w:sz="0" w:space="0" w:color="auto"/>
      </w:divBdr>
    </w:div>
    <w:div w:id="1274747317">
      <w:bodyDiv w:val="1"/>
      <w:marLeft w:val="0"/>
      <w:marRight w:val="0"/>
      <w:marTop w:val="0"/>
      <w:marBottom w:val="0"/>
      <w:divBdr>
        <w:top w:val="none" w:sz="0" w:space="0" w:color="auto"/>
        <w:left w:val="none" w:sz="0" w:space="0" w:color="auto"/>
        <w:bottom w:val="none" w:sz="0" w:space="0" w:color="auto"/>
        <w:right w:val="none" w:sz="0" w:space="0" w:color="auto"/>
      </w:divBdr>
    </w:div>
    <w:div w:id="1600140506">
      <w:bodyDiv w:val="1"/>
      <w:marLeft w:val="0"/>
      <w:marRight w:val="0"/>
      <w:marTop w:val="0"/>
      <w:marBottom w:val="0"/>
      <w:divBdr>
        <w:top w:val="none" w:sz="0" w:space="0" w:color="auto"/>
        <w:left w:val="none" w:sz="0" w:space="0" w:color="auto"/>
        <w:bottom w:val="none" w:sz="0" w:space="0" w:color="auto"/>
        <w:right w:val="none" w:sz="0" w:space="0" w:color="auto"/>
      </w:divBdr>
    </w:div>
    <w:div w:id="1968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Office_Excel_Worksheet3.xlsx"/><Relationship Id="rId117" Type="http://schemas.openxmlformats.org/officeDocument/2006/relationships/image" Target="media/image50.emf"/><Relationship Id="rId21" Type="http://schemas.openxmlformats.org/officeDocument/2006/relationships/image" Target="media/image2.emf"/><Relationship Id="rId42" Type="http://schemas.openxmlformats.org/officeDocument/2006/relationships/package" Target="embeddings/Microsoft_Office_Excel_Worksheet11.xlsx"/><Relationship Id="rId47" Type="http://schemas.openxmlformats.org/officeDocument/2006/relationships/image" Target="media/image15.emf"/><Relationship Id="rId63" Type="http://schemas.openxmlformats.org/officeDocument/2006/relationships/image" Target="media/image23.emf"/><Relationship Id="rId68" Type="http://schemas.openxmlformats.org/officeDocument/2006/relationships/package" Target="embeddings/Microsoft_Office_Excel_Worksheet24.xlsx"/><Relationship Id="rId84" Type="http://schemas.openxmlformats.org/officeDocument/2006/relationships/package" Target="embeddings/Microsoft_Office_Excel_Worksheet32.xlsx"/><Relationship Id="rId89" Type="http://schemas.openxmlformats.org/officeDocument/2006/relationships/image" Target="media/image36.emf"/><Relationship Id="rId112" Type="http://schemas.openxmlformats.org/officeDocument/2006/relationships/package" Target="embeddings/Microsoft_Office_Excel_Worksheet46.xlsx"/><Relationship Id="rId133" Type="http://schemas.openxmlformats.org/officeDocument/2006/relationships/image" Target="media/image58.emf"/><Relationship Id="rId138" Type="http://schemas.openxmlformats.org/officeDocument/2006/relationships/package" Target="embeddings/Microsoft_Office_Excel_Worksheet58.xlsx"/><Relationship Id="rId16" Type="http://schemas.openxmlformats.org/officeDocument/2006/relationships/header" Target="header3.xml"/><Relationship Id="rId107" Type="http://schemas.openxmlformats.org/officeDocument/2006/relationships/image" Target="media/image45.emf"/><Relationship Id="rId11" Type="http://schemas.openxmlformats.org/officeDocument/2006/relationships/endnotes" Target="endnotes.xml"/><Relationship Id="rId32" Type="http://schemas.openxmlformats.org/officeDocument/2006/relationships/package" Target="embeddings/Microsoft_Office_Excel_Worksheet6.xlsx"/><Relationship Id="rId37" Type="http://schemas.openxmlformats.org/officeDocument/2006/relationships/image" Target="media/image10.emf"/><Relationship Id="rId53" Type="http://schemas.openxmlformats.org/officeDocument/2006/relationships/image" Target="media/image18.emf"/><Relationship Id="rId58" Type="http://schemas.openxmlformats.org/officeDocument/2006/relationships/package" Target="embeddings/Microsoft_Office_Excel_Worksheet19.xlsx"/><Relationship Id="rId74" Type="http://schemas.openxmlformats.org/officeDocument/2006/relationships/package" Target="embeddings/Microsoft_Office_Excel_Worksheet27.xlsx"/><Relationship Id="rId79" Type="http://schemas.openxmlformats.org/officeDocument/2006/relationships/image" Target="media/image31.emf"/><Relationship Id="rId102" Type="http://schemas.openxmlformats.org/officeDocument/2006/relationships/package" Target="embeddings/Microsoft_Office_Excel_Worksheet41.xlsx"/><Relationship Id="rId123" Type="http://schemas.openxmlformats.org/officeDocument/2006/relationships/image" Target="media/image53.emf"/><Relationship Id="rId128" Type="http://schemas.openxmlformats.org/officeDocument/2006/relationships/package" Target="embeddings/Microsoft_Office_Excel_Worksheet53.xlsx"/><Relationship Id="rId144" Type="http://schemas.openxmlformats.org/officeDocument/2006/relationships/header" Target="header7.xml"/><Relationship Id="rId5" Type="http://schemas.openxmlformats.org/officeDocument/2006/relationships/customXml" Target="../customXml/item5.xml"/><Relationship Id="rId90" Type="http://schemas.openxmlformats.org/officeDocument/2006/relationships/package" Target="embeddings/Microsoft_Office_Excel_Worksheet35.xlsx"/><Relationship Id="rId95" Type="http://schemas.openxmlformats.org/officeDocument/2006/relationships/image" Target="media/image39.emf"/><Relationship Id="rId22" Type="http://schemas.openxmlformats.org/officeDocument/2006/relationships/package" Target="embeddings/Microsoft_Office_Excel_Worksheet1.xlsx"/><Relationship Id="rId27" Type="http://schemas.openxmlformats.org/officeDocument/2006/relationships/image" Target="media/image5.emf"/><Relationship Id="rId43" Type="http://schemas.openxmlformats.org/officeDocument/2006/relationships/image" Target="media/image13.emf"/><Relationship Id="rId48" Type="http://schemas.openxmlformats.org/officeDocument/2006/relationships/package" Target="embeddings/Microsoft_Office_Excel_Worksheet14.xlsx"/><Relationship Id="rId64" Type="http://schemas.openxmlformats.org/officeDocument/2006/relationships/package" Target="embeddings/Microsoft_Office_Excel_Worksheet22.xlsx"/><Relationship Id="rId69" Type="http://schemas.openxmlformats.org/officeDocument/2006/relationships/image" Target="media/image26.emf"/><Relationship Id="rId113" Type="http://schemas.openxmlformats.org/officeDocument/2006/relationships/image" Target="media/image48.emf"/><Relationship Id="rId118" Type="http://schemas.openxmlformats.org/officeDocument/2006/relationships/package" Target="embeddings/Microsoft_Office_Excel_Worksheet49.xlsx"/><Relationship Id="rId134" Type="http://schemas.openxmlformats.org/officeDocument/2006/relationships/package" Target="embeddings/Microsoft_Office_Excel_Worksheet56.xlsx"/><Relationship Id="rId139" Type="http://schemas.openxmlformats.org/officeDocument/2006/relationships/image" Target="media/image61.emf"/><Relationship Id="rId80" Type="http://schemas.openxmlformats.org/officeDocument/2006/relationships/package" Target="embeddings/Microsoft_Office_Excel_Worksheet30.xlsx"/><Relationship Id="rId85" Type="http://schemas.openxmlformats.org/officeDocument/2006/relationships/image" Target="media/image34.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Office_Excel_Worksheet9.xlsx"/><Relationship Id="rId46" Type="http://schemas.openxmlformats.org/officeDocument/2006/relationships/package" Target="embeddings/Microsoft_Office_Excel_Worksheet13.xlsx"/><Relationship Id="rId59" Type="http://schemas.openxmlformats.org/officeDocument/2006/relationships/image" Target="media/image21.emf"/><Relationship Id="rId67" Type="http://schemas.openxmlformats.org/officeDocument/2006/relationships/image" Target="media/image25.emf"/><Relationship Id="rId103" Type="http://schemas.openxmlformats.org/officeDocument/2006/relationships/image" Target="media/image43.emf"/><Relationship Id="rId108" Type="http://schemas.openxmlformats.org/officeDocument/2006/relationships/package" Target="embeddings/Microsoft_Office_Excel_Worksheet44.xlsx"/><Relationship Id="rId116" Type="http://schemas.openxmlformats.org/officeDocument/2006/relationships/package" Target="embeddings/Microsoft_Office_Excel_Worksheet48.xlsx"/><Relationship Id="rId124" Type="http://schemas.openxmlformats.org/officeDocument/2006/relationships/package" Target="embeddings/Microsoft_Office_Excel_Worksheet51.xlsx"/><Relationship Id="rId129" Type="http://schemas.openxmlformats.org/officeDocument/2006/relationships/image" Target="media/image56.emf"/><Relationship Id="rId137" Type="http://schemas.openxmlformats.org/officeDocument/2006/relationships/image" Target="media/image60.emf"/><Relationship Id="rId20" Type="http://schemas.openxmlformats.org/officeDocument/2006/relationships/footer" Target="footer4.xml"/><Relationship Id="rId41" Type="http://schemas.openxmlformats.org/officeDocument/2006/relationships/image" Target="media/image12.emf"/><Relationship Id="rId54" Type="http://schemas.openxmlformats.org/officeDocument/2006/relationships/package" Target="embeddings/Microsoft_Office_Excel_Worksheet17.xlsx"/><Relationship Id="rId62" Type="http://schemas.openxmlformats.org/officeDocument/2006/relationships/package" Target="embeddings/Microsoft_Office_Excel_Worksheet21.xlsx"/><Relationship Id="rId70" Type="http://schemas.openxmlformats.org/officeDocument/2006/relationships/package" Target="embeddings/Microsoft_Office_Excel_Worksheet25.xlsx"/><Relationship Id="rId75" Type="http://schemas.openxmlformats.org/officeDocument/2006/relationships/image" Target="media/image29.emf"/><Relationship Id="rId83" Type="http://schemas.openxmlformats.org/officeDocument/2006/relationships/image" Target="media/image33.emf"/><Relationship Id="rId88" Type="http://schemas.openxmlformats.org/officeDocument/2006/relationships/package" Target="embeddings/Microsoft_Office_Excel_Worksheet34.xlsx"/><Relationship Id="rId91" Type="http://schemas.openxmlformats.org/officeDocument/2006/relationships/image" Target="media/image37.emf"/><Relationship Id="rId96" Type="http://schemas.openxmlformats.org/officeDocument/2006/relationships/package" Target="embeddings/Microsoft_Office_Excel_Worksheet38.xlsx"/><Relationship Id="rId111" Type="http://schemas.openxmlformats.org/officeDocument/2006/relationships/image" Target="media/image47.emf"/><Relationship Id="rId132" Type="http://schemas.openxmlformats.org/officeDocument/2006/relationships/package" Target="embeddings/Microsoft_Office_Excel_Worksheet55.xlsx"/><Relationship Id="rId140" Type="http://schemas.openxmlformats.org/officeDocument/2006/relationships/package" Target="embeddings/Microsoft_Office_Excel_Worksheet59.xlsx"/><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package" Target="embeddings/Microsoft_Office_Excel_Worksheet4.xlsx"/><Relationship Id="rId36" Type="http://schemas.openxmlformats.org/officeDocument/2006/relationships/package" Target="embeddings/Microsoft_Office_Excel_Worksheet8.xlsx"/><Relationship Id="rId49" Type="http://schemas.openxmlformats.org/officeDocument/2006/relationships/image" Target="media/image16.emf"/><Relationship Id="rId57" Type="http://schemas.openxmlformats.org/officeDocument/2006/relationships/image" Target="media/image20.emf"/><Relationship Id="rId106" Type="http://schemas.openxmlformats.org/officeDocument/2006/relationships/package" Target="embeddings/Microsoft_Office_Excel_Worksheet43.xlsx"/><Relationship Id="rId114" Type="http://schemas.openxmlformats.org/officeDocument/2006/relationships/package" Target="embeddings/Microsoft_Office_Excel_Worksheet47.xlsx"/><Relationship Id="rId119" Type="http://schemas.openxmlformats.org/officeDocument/2006/relationships/image" Target="media/image51.wmf"/><Relationship Id="rId127" Type="http://schemas.openxmlformats.org/officeDocument/2006/relationships/image" Target="media/image55.emf"/><Relationship Id="rId10" Type="http://schemas.openxmlformats.org/officeDocument/2006/relationships/footnotes" Target="footnotes.xml"/><Relationship Id="rId31" Type="http://schemas.openxmlformats.org/officeDocument/2006/relationships/image" Target="media/image7.emf"/><Relationship Id="rId44" Type="http://schemas.openxmlformats.org/officeDocument/2006/relationships/package" Target="embeddings/Microsoft_Office_Excel_Worksheet12.xlsx"/><Relationship Id="rId52" Type="http://schemas.openxmlformats.org/officeDocument/2006/relationships/package" Target="embeddings/Microsoft_Office_Excel_Worksheet16.xlsx"/><Relationship Id="rId60" Type="http://schemas.openxmlformats.org/officeDocument/2006/relationships/package" Target="embeddings/Microsoft_Office_Excel_Worksheet20.xlsx"/><Relationship Id="rId65" Type="http://schemas.openxmlformats.org/officeDocument/2006/relationships/image" Target="media/image24.emf"/><Relationship Id="rId73" Type="http://schemas.openxmlformats.org/officeDocument/2006/relationships/image" Target="media/image28.emf"/><Relationship Id="rId78" Type="http://schemas.openxmlformats.org/officeDocument/2006/relationships/package" Target="embeddings/Microsoft_Office_Excel_Worksheet29.xlsx"/><Relationship Id="rId81" Type="http://schemas.openxmlformats.org/officeDocument/2006/relationships/image" Target="media/image32.emf"/><Relationship Id="rId86" Type="http://schemas.openxmlformats.org/officeDocument/2006/relationships/package" Target="embeddings/Microsoft_Office_Excel_Worksheet33.xlsx"/><Relationship Id="rId94" Type="http://schemas.openxmlformats.org/officeDocument/2006/relationships/package" Target="embeddings/Microsoft_Office_Excel_Worksheet37.xlsx"/><Relationship Id="rId99" Type="http://schemas.openxmlformats.org/officeDocument/2006/relationships/image" Target="media/image41.emf"/><Relationship Id="rId101" Type="http://schemas.openxmlformats.org/officeDocument/2006/relationships/image" Target="media/image42.emf"/><Relationship Id="rId122" Type="http://schemas.openxmlformats.org/officeDocument/2006/relationships/package" Target="embeddings/Microsoft_Office_Excel_Worksheet50.xlsx"/><Relationship Id="rId130" Type="http://schemas.openxmlformats.org/officeDocument/2006/relationships/package" Target="embeddings/Microsoft_Office_Excel_Worksheet54.xlsx"/><Relationship Id="rId135" Type="http://schemas.openxmlformats.org/officeDocument/2006/relationships/image" Target="media/image59.emf"/><Relationship Id="rId14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11.emf"/><Relationship Id="rId109" Type="http://schemas.openxmlformats.org/officeDocument/2006/relationships/image" Target="media/image46.emf"/><Relationship Id="rId34" Type="http://schemas.openxmlformats.org/officeDocument/2006/relationships/package" Target="embeddings/Microsoft_Office_Excel_Worksheet7.xlsx"/><Relationship Id="rId50" Type="http://schemas.openxmlformats.org/officeDocument/2006/relationships/package" Target="embeddings/Microsoft_Office_Excel_Worksheet15.xlsx"/><Relationship Id="rId55" Type="http://schemas.openxmlformats.org/officeDocument/2006/relationships/image" Target="media/image19.emf"/><Relationship Id="rId76" Type="http://schemas.openxmlformats.org/officeDocument/2006/relationships/package" Target="embeddings/Microsoft_Office_Excel_Worksheet28.xlsx"/><Relationship Id="rId97" Type="http://schemas.openxmlformats.org/officeDocument/2006/relationships/image" Target="media/image40.emf"/><Relationship Id="rId104" Type="http://schemas.openxmlformats.org/officeDocument/2006/relationships/package" Target="embeddings/Microsoft_Office_Excel_Worksheet42.xlsx"/><Relationship Id="rId120" Type="http://schemas.openxmlformats.org/officeDocument/2006/relationships/oleObject" Target="embeddings/Microsoft_Office_Excel_97-2003_Worksheet1.xls"/><Relationship Id="rId125" Type="http://schemas.openxmlformats.org/officeDocument/2006/relationships/image" Target="media/image54.emf"/><Relationship Id="rId141" Type="http://schemas.openxmlformats.org/officeDocument/2006/relationships/image" Target="media/image62.emf"/><Relationship Id="rId14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27.emf"/><Relationship Id="rId92" Type="http://schemas.openxmlformats.org/officeDocument/2006/relationships/package" Target="embeddings/Microsoft_Office_Excel_Worksheet36.xlsx"/><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package" Target="embeddings/Microsoft_Office_Excel_Worksheet2.xlsx"/><Relationship Id="rId40" Type="http://schemas.openxmlformats.org/officeDocument/2006/relationships/package" Target="embeddings/Microsoft_Office_Excel_Worksheet10.xlsx"/><Relationship Id="rId45" Type="http://schemas.openxmlformats.org/officeDocument/2006/relationships/image" Target="media/image14.emf"/><Relationship Id="rId66" Type="http://schemas.openxmlformats.org/officeDocument/2006/relationships/package" Target="embeddings/Microsoft_Office_Excel_Worksheet23.xlsx"/><Relationship Id="rId87" Type="http://schemas.openxmlformats.org/officeDocument/2006/relationships/image" Target="media/image35.emf"/><Relationship Id="rId110" Type="http://schemas.openxmlformats.org/officeDocument/2006/relationships/package" Target="embeddings/Microsoft_Office_Excel_Worksheet45.xlsx"/><Relationship Id="rId115" Type="http://schemas.openxmlformats.org/officeDocument/2006/relationships/image" Target="media/image49.emf"/><Relationship Id="rId131" Type="http://schemas.openxmlformats.org/officeDocument/2006/relationships/image" Target="media/image57.emf"/><Relationship Id="rId136" Type="http://schemas.openxmlformats.org/officeDocument/2006/relationships/package" Target="embeddings/Microsoft_Office_Excel_Worksheet57.xlsx"/><Relationship Id="rId61" Type="http://schemas.openxmlformats.org/officeDocument/2006/relationships/image" Target="media/image22.emf"/><Relationship Id="rId82" Type="http://schemas.openxmlformats.org/officeDocument/2006/relationships/package" Target="embeddings/Microsoft_Office_Excel_Worksheet31.xlsx"/><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package" Target="embeddings/Microsoft_Office_Excel_Worksheet5.xlsx"/><Relationship Id="rId35" Type="http://schemas.openxmlformats.org/officeDocument/2006/relationships/image" Target="media/image9.emf"/><Relationship Id="rId56" Type="http://schemas.openxmlformats.org/officeDocument/2006/relationships/package" Target="embeddings/Microsoft_Office_Excel_Worksheet18.xlsx"/><Relationship Id="rId77" Type="http://schemas.openxmlformats.org/officeDocument/2006/relationships/image" Target="media/image30.emf"/><Relationship Id="rId100" Type="http://schemas.openxmlformats.org/officeDocument/2006/relationships/package" Target="embeddings/Microsoft_Office_Excel_Worksheet40.xlsx"/><Relationship Id="rId105" Type="http://schemas.openxmlformats.org/officeDocument/2006/relationships/image" Target="media/image44.emf"/><Relationship Id="rId126" Type="http://schemas.openxmlformats.org/officeDocument/2006/relationships/package" Target="embeddings/Microsoft_Office_Excel_Worksheet52.xlsx"/><Relationship Id="rId8" Type="http://schemas.openxmlformats.org/officeDocument/2006/relationships/settings" Target="settings.xml"/><Relationship Id="rId51" Type="http://schemas.openxmlformats.org/officeDocument/2006/relationships/image" Target="media/image17.emf"/><Relationship Id="rId72" Type="http://schemas.openxmlformats.org/officeDocument/2006/relationships/package" Target="embeddings/Microsoft_Office_Excel_Worksheet26.xlsx"/><Relationship Id="rId93" Type="http://schemas.openxmlformats.org/officeDocument/2006/relationships/image" Target="media/image38.emf"/><Relationship Id="rId98" Type="http://schemas.openxmlformats.org/officeDocument/2006/relationships/package" Target="embeddings/Microsoft_Office_Excel_Worksheet39.xlsx"/><Relationship Id="rId121" Type="http://schemas.openxmlformats.org/officeDocument/2006/relationships/image" Target="media/image52.emf"/><Relationship Id="rId142" Type="http://schemas.openxmlformats.org/officeDocument/2006/relationships/package" Target="embeddings/Microsoft_Office_Excel_Worksheet60.xlsx"/></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PMG Microweb 3 Document" ma:contentTypeID="0x01010D00FE7E355AA6FBC74B9F426ADBE00604EE" ma:contentTypeVersion="31" ma:contentTypeDescription="KPMG Microweb 3 Document" ma:contentTypeScope="" ma:versionID="01c556b702c515e021acb8961c3bfcdf">
  <xsd:schema xmlns:xsd="http://www.w3.org/2001/XMLSchema" xmlns:p="http://schemas.microsoft.com/office/2006/metadata/properties" xmlns:ns1="http://schemas.microsoft.com/sharepoint/v3" xmlns:ns2="http://schemas.microsoft.com/sharepoint/v3/fields" xmlns:ns3="b00f20d5-ceb3-4adf-8632-db85932f34e5" xmlns:ns4="cf981484-ed93-4090-baf6-fe2481f804a7" targetNamespace="http://schemas.microsoft.com/office/2006/metadata/properties" ma:root="true" ma:fieldsID="921946ef43365bc7d0bd6c58ada3886b" ns1:_="" ns2:_="" ns3:_="" ns4:_="">
    <xsd:import namespace="http://schemas.microsoft.com/sharepoint/v3"/>
    <xsd:import namespace="http://schemas.microsoft.com/sharepoint/v3/fields"/>
    <xsd:import namespace="b00f20d5-ceb3-4adf-8632-db85932f34e5"/>
    <xsd:import namespace="cf981484-ed93-4090-baf6-fe2481f804a7"/>
    <xsd:element name="properties">
      <xsd:complexType>
        <xsd:sequence>
          <xsd:element name="documentManagement">
            <xsd:complexType>
              <xsd:all>
                <xsd:element ref="ns3:CEE_x0020_AAS_x0020_Category" minOccurs="0"/>
                <xsd:element ref="ns2:KPMGMW3DocumentType"/>
                <xsd:element ref="ns2:KPMGMW3FunctionSelection" minOccurs="0"/>
                <xsd:element ref="ns2:KPMGMW3IndustrySectorSubSectorSelection" minOccurs="0"/>
                <xsd:element ref="ns4:Client_x0020_Issue" minOccurs="0"/>
                <xsd:element ref="ns1:KPMGMW3Language"/>
                <xsd:element ref="ns1:KPMGMW3Geography" minOccurs="0"/>
                <xsd:element ref="ns2:KPMGMW3SubSector" minOccurs="0"/>
                <xsd:element ref="ns2:KPMGMW3Function" minOccurs="0"/>
                <xsd:element ref="ns2:KPMGMW3Service" minOccurs="0"/>
                <xsd:element ref="ns2:KPMGMW3SubService" minOccurs="0"/>
                <xsd:element ref="ns2:KPMGMW3Sec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8" ma:displayName="Language" ma:description="Identifies the language of the resource" ma:internalName="KPMGMW3Language">
      <xsd:simpleType>
        <xsd:restriction base="dms:Unknown"/>
      </xsd:simpleType>
    </xsd:element>
    <xsd:element name="KPMGMW3Geography" ma:index="9" nillable="true" ma:displayName="Geographic coverage" ma:description="Country the content item applies to. &#10;It is possible to select multiple countries by holding down the Ctrl key while making the selections." ma:internalName="KPMGMW3Geography">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4" ma:displayName="Document Type" ma:description="Identifies the nature of the resource in terms of its role in a business process" ma:internalName="KPMGMW3DocumentType">
      <xsd:simpleType>
        <xsd:restriction base="dms:Unknown"/>
      </xsd:simpleType>
    </xsd:element>
    <xsd:element name="KPMGMW3FunctionSelection" ma:index="5" nillable="true" ma:displayName="Function/Service/SubService Selection" ma:description="Function/Service/SubService Selection" ma:internalName="KPMGMW3FunctionSelection">
      <xsd:simpleType>
        <xsd:restriction base="dms:Unknown"/>
      </xsd:simpleType>
    </xsd:element>
    <xsd:element name="KPMGMW3IndustrySectorSubSectorSelection" ma:index="6" nillable="true" ma:displayName="Industry Sector/SubSector Selection" ma:description="Industry Multi Selection Sector/SubSector Selection" ma:internalName="KPMGMW3IndustrySectorSubSectorSelection">
      <xsd:simpleType>
        <xsd:restriction base="dms:Unknown"/>
      </xsd:simpleType>
    </xsd:element>
    <xsd:element name="KPMGMW3SubSector" ma:index="12" nillable="true" ma:displayName="Sub Sector" ma:description="Sub Sector" ma:internalName="KPMGMW3SubSector" ma:readOnly="true">
      <xsd:simpleType>
        <xsd:restriction base="dms:Text"/>
      </xsd:simpleType>
    </xsd:element>
    <xsd:element name="KPMGMW3Function" ma:index="17" nillable="true" ma:displayName="Function" ma:description="Function" ma:internalName="KPMGMW3Function" ma:readOnly="true">
      <xsd:simpleType>
        <xsd:restriction base="dms:Text"/>
      </xsd:simpleType>
    </xsd:element>
    <xsd:element name="KPMGMW3Service" ma:index="18" nillable="true" ma:displayName="Service" ma:description="Identifies the KPMG service which is discussed or targeted in this folder" ma:internalName="KPMGMW3Service" ma:readOnly="true">
      <xsd:simpleType>
        <xsd:restriction base="dms:Text"/>
      </xsd:simpleType>
    </xsd:element>
    <xsd:element name="KPMGMW3SubService" ma:index="19" nillable="true" ma:displayName="Sub Service" ma:description="Identifies the KPMG sub service which is discussed or targeted in this folder" ma:internalName="KPMGMW3SubService" ma:readOnly="true">
      <xsd:simpleType>
        <xsd:restriction base="dms:Text"/>
      </xsd:simpleType>
    </xsd:element>
    <xsd:element name="KPMGMW3Sector" ma:index="22" nillable="true" ma:displayName="Sector" ma:description="Sector" ma:internalName="KPMGMW3Sector" ma:readOnly="true">
      <xsd:simpleType>
        <xsd:restriction base="dms:Text"/>
      </xsd:simpleType>
    </xsd:element>
  </xsd:schema>
  <xsd:schema xmlns:xsd="http://www.w3.org/2001/XMLSchema" xmlns:dms="http://schemas.microsoft.com/office/2006/documentManagement/types" targetNamespace="b00f20d5-ceb3-4adf-8632-db85932f34e5" elementFormDefault="qualified">
    <xsd:import namespace="http://schemas.microsoft.com/office/2006/documentManagement/types"/>
    <xsd:element name="CEE_x0020_AAS_x0020_Category" ma:index="3" nillable="true" ma:displayName="CEE AAS Category" ma:format="Dropdown" ma:internalName="CEE_x0020_AAS_x0020_Category">
      <xsd:simpleType>
        <xsd:restriction base="dms:Choice">
          <xsd:enumeration value="Meeting Minutes"/>
          <xsd:enumeration value="Presentation"/>
          <xsd:enumeration value="Template"/>
          <xsd:enumeration value="Other"/>
        </xsd:restriction>
      </xsd:simpleType>
    </xsd:element>
  </xsd:schema>
  <xsd:schema xmlns:xsd="http://www.w3.org/2001/XMLSchema" xmlns:dms="http://schemas.microsoft.com/office/2006/documentManagement/types" targetNamespace="cf981484-ed93-4090-baf6-fe2481f804a7" elementFormDefault="qualified">
    <xsd:import namespace="http://schemas.microsoft.com/office/2006/documentManagement/types"/>
    <xsd:element name="Client_x0020_Issue" ma:index="7" nillable="true" ma:displayName="Client Issue" ma:description="Please select the Advisory Issue that best fits the client challenge" ma:internalName="Client_x0020_Issue">
      <xsd:complexType>
        <xsd:complexContent>
          <xsd:extension base="dms:MultiChoice">
            <xsd:sequence>
              <xsd:element name="Value" maxOccurs="unbounded" minOccurs="0" nillable="true">
                <xsd:simpleType>
                  <xsd:restriction base="dms:Choice">
                    <xsd:enumeration value="Entering New Markets"/>
                    <xsd:enumeration value="Growth from Transactions"/>
                    <xsd:enumeration value="Managing the Regulatory Environment"/>
                    <xsd:enumeration value="Optimizing Organizational Risk"/>
                    <xsd:enumeration value="Best Practice Governance and Corporate Citizenship"/>
                    <xsd:enumeration value="Addressing Severe Underperformance"/>
                    <xsd:enumeration value="Efficiency and Cost Optimization"/>
                    <xsd:enumeration value="Value from Major Infrastructure 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or Contact"/>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lient_x0020_Issue xmlns="cf981484-ed93-4090-baf6-fe2481f804a7"/>
    <KPMGMW3Language xmlns="http://schemas.microsoft.com/sharepoint/v3">German</KPMGMW3Language>
    <KPMGMW3IndustrySectorSubSectorSelection xmlns="http://schemas.microsoft.com/sharepoint/v3/fields" xsi:nil="true"/>
    <KPMGMW3FunctionSelection xmlns="http://schemas.microsoft.com/sharepoint/v3/fields">;#Advisory;;;#Accounting Advisory Services;#;#</KPMGMW3FunctionSelection>
    <KPMGMW3DocumentType xmlns="http://schemas.microsoft.com/sharepoint/v3/fields">KPMG Publications - External</KPMGMW3DocumentType>
    <CEE_x0020_AAS_x0020_Category xmlns="b00f20d5-ceb3-4adf-8632-db85932f34e5" xsi:nil="true"/>
    <KPMGMW3Geography xmlns="http://schemas.microsoft.com/sharepoint/v3">;#Global;#</KPMGMW3Geography>
    <KPMGMW3SubService xmlns="http://schemas.microsoft.com/sharepoint/v3/fields" xsi:nil="true"/>
    <KPMGMW3Service xmlns="http://schemas.microsoft.com/sharepoint/v3/fields">Accounting Advisory Services</KPMGMW3Service>
    <KPMGMW3Sector xmlns="http://schemas.microsoft.com/sharepoint/v3/fields" xsi:nil="true"/>
    <KPMGMW3Function xmlns="http://schemas.microsoft.com/sharepoint/v3/fields">Advisory;</KPMGMW3Function>
    <KPMGMW3SubSector xmlns="http://schemas.microsoft.com/sharepoint/v3/fields" xsi:nil="true"/>
  </documentManagement>
</p:properties>
</file>

<file path=customXml/item3.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BA78-BB36-46BA-AE9C-75D795FF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00f20d5-ceb3-4adf-8632-db85932f34e5"/>
    <ds:schemaRef ds:uri="cf981484-ed93-4090-baf6-fe2481f80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888260-CAA3-420E-A400-1BFDFF5967AD}">
  <ds:schemaRefs>
    <ds:schemaRef ds:uri="http://schemas.microsoft.com/office/2006/metadata/properties"/>
    <ds:schemaRef ds:uri="cf981484-ed93-4090-baf6-fe2481f804a7"/>
    <ds:schemaRef ds:uri="http://schemas.microsoft.com/sharepoint/v3"/>
    <ds:schemaRef ds:uri="http://schemas.microsoft.com/sharepoint/v3/fields"/>
    <ds:schemaRef ds:uri="b00f20d5-ceb3-4adf-8632-db85932f34e5"/>
  </ds:schemaRefs>
</ds:datastoreItem>
</file>

<file path=customXml/itemProps3.xml><?xml version="1.0" encoding="utf-8"?>
<ds:datastoreItem xmlns:ds="http://schemas.openxmlformats.org/officeDocument/2006/customXml" ds:itemID="{1E7C4D7B-240E-4FCF-8B17-619A42D19B3D}">
  <ds:schemaRefs>
    <ds:schemaRef ds:uri="http://schemas.microsoft.com/sharepoint/events"/>
  </ds:schemaRefs>
</ds:datastoreItem>
</file>

<file path=customXml/itemProps4.xml><?xml version="1.0" encoding="utf-8"?>
<ds:datastoreItem xmlns:ds="http://schemas.openxmlformats.org/officeDocument/2006/customXml" ds:itemID="{17CD4CB0-22D4-478F-9247-EF5F94F0FFBF}">
  <ds:schemaRefs>
    <ds:schemaRef ds:uri="http://schemas.microsoft.com/sharepoint/v3/contenttype/forms"/>
  </ds:schemaRefs>
</ds:datastoreItem>
</file>

<file path=customXml/itemProps5.xml><?xml version="1.0" encoding="utf-8"?>
<ds:datastoreItem xmlns:ds="http://schemas.openxmlformats.org/officeDocument/2006/customXml" ds:itemID="{6EC4E501-44F7-45E4-8A4E-1055A4F1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64</Pages>
  <Words>12787</Words>
  <Characters>72890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Sikulova, Andra</dc:creator>
  <cp:lastModifiedBy>asikulova</cp:lastModifiedBy>
  <cp:revision>22</cp:revision>
  <cp:lastPrinted>2013-11-22T15:26:00Z</cp:lastPrinted>
  <dcterms:created xsi:type="dcterms:W3CDTF">2013-12-18T08:14:00Z</dcterms:created>
  <dcterms:modified xsi:type="dcterms:W3CDTF">2013-12-19T19:32:00Z</dcterms:modified>
  <cp:contentType>KPMG Microweb 3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ies>
</file>