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0C" w:rsidRPr="005D44BC" w:rsidRDefault="00BA550C" w:rsidP="00BA550C">
      <w:pPr>
        <w:rPr>
          <w:sz w:val="24"/>
          <w:szCs w:val="24"/>
        </w:rPr>
      </w:pPr>
      <w:r w:rsidRPr="005D44BC">
        <w:rPr>
          <w:noProof/>
          <w:sz w:val="24"/>
          <w:szCs w:val="24"/>
          <w:lang w:eastAsia="sk-SK"/>
        </w:rPr>
        <w:drawing>
          <wp:inline distT="0" distB="0" distL="0" distR="0" wp14:anchorId="3511331F" wp14:editId="6FE3022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RPr="005D44BC" w:rsidTr="000157F2">
        <w:tc>
          <w:tcPr>
            <w:tcW w:w="1101" w:type="dxa"/>
          </w:tcPr>
          <w:p w:rsidR="00BA550C" w:rsidRPr="005D44BC" w:rsidRDefault="00BA550C" w:rsidP="000157F2">
            <w:pPr>
              <w:rPr>
                <w:noProof/>
                <w:color w:val="474747"/>
                <w:sz w:val="24"/>
                <w:szCs w:val="24"/>
                <w:lang w:eastAsia="sk-SK"/>
              </w:rPr>
            </w:pP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A550C" w:rsidRPr="005D44BC" w:rsidRDefault="00BA550C" w:rsidP="000157F2">
            <w:pPr>
              <w:rPr>
                <w:sz w:val="24"/>
                <w:szCs w:val="24"/>
              </w:rPr>
            </w:pPr>
            <w:r w:rsidRPr="005D44BC">
              <w:rPr>
                <w:sz w:val="24"/>
                <w:szCs w:val="24"/>
              </w:rPr>
              <w:t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1 651 000 rozhodnutí, ktorých vybrané rozhodnutia sú</w:t>
            </w:r>
          </w:p>
          <w:p w:rsidR="00BA550C" w:rsidRPr="005D44BC" w:rsidRDefault="00BA550C" w:rsidP="000157F2">
            <w:pPr>
              <w:rPr>
                <w:rFonts w:cstheme="minorHAnsi"/>
                <w:b/>
                <w:bCs/>
                <w:color w:val="474747"/>
                <w:sz w:val="24"/>
                <w:szCs w:val="24"/>
              </w:rPr>
            </w:pPr>
          </w:p>
        </w:tc>
      </w:tr>
    </w:tbl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RPr="005D44BC" w:rsidTr="000157F2">
        <w:tc>
          <w:tcPr>
            <w:tcW w:w="1101" w:type="dxa"/>
          </w:tcPr>
          <w:p w:rsidR="00BA550C" w:rsidRPr="005D44BC" w:rsidRDefault="00271063" w:rsidP="000157F2">
            <w:pPr>
              <w:jc w:val="center"/>
              <w:rPr>
                <w:color w:val="474747"/>
                <w:sz w:val="24"/>
                <w:szCs w:val="24"/>
              </w:rPr>
            </w:pPr>
            <w:r w:rsidRPr="005D44BC">
              <w:rPr>
                <w:noProof/>
                <w:color w:val="474747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4B636BAD" wp14:editId="4026B160">
                  <wp:simplePos x="0" y="0"/>
                  <wp:positionH relativeFrom="column">
                    <wp:posOffset>7620</wp:posOffset>
                  </wp:positionH>
                  <wp:positionV relativeFrom="page">
                    <wp:posOffset>36195</wp:posOffset>
                  </wp:positionV>
                  <wp:extent cx="543600" cy="543600"/>
                  <wp:effectExtent l="0" t="0" r="8890" b="8890"/>
                  <wp:wrapTopAndBottom/>
                  <wp:docPr id="5" name="Obrázok 5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C12B4C" w:rsidRPr="005D44BC" w:rsidRDefault="00C12B4C" w:rsidP="00C12B4C">
            <w:pPr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</w:pP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  <w:t>ZO SÚDNEJ PRAXE</w:t>
            </w:r>
          </w:p>
          <w:p w:rsidR="00C12B4C" w:rsidRPr="005D44BC" w:rsidRDefault="007325E0" w:rsidP="00C12B4C">
            <w:pPr>
              <w:rPr>
                <w:rFonts w:cstheme="minorHAnsi"/>
                <w:b/>
                <w:bCs/>
                <w:color w:val="474747"/>
                <w:sz w:val="24"/>
                <w:szCs w:val="24"/>
              </w:rPr>
            </w:pP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4/2016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Preskúmanie rozhodnutia mimo odvolacieho konania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7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8 Sžo 31/2014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Správne uváženie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8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8 Sžo 172/2015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Prepustenie z väzby, primerané povinnosti a obmedzenia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9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5 Tos 7/2007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Náležitosti výroku odvolacieho súdu. Zákaz činnosti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0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23 To 30/2016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Dovolacie dôvody. Prípustnosť dovolania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1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5 Obdo 12/2013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Prípustnosť dovolania. Procesné vady konania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2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1 Obdo V 8/2015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Legitimácia všeobecného súdu na podanie návrhu na začatie konania o (ne)súlade právneho predpisu s ústavným poriadkom. Realizácia záložného práva prostredníctvom dobrovoľnej dražby. Ochrana vlastníckeho práva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3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PL. ÚS 23/2014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Zníženie poistného plnenia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4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8 Cdo 891/2015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Jednostranné zvýšenie nájomného za nájom bytu a nebytového priestoru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5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3 M Cdo 6/2008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Náležitosti právneho úkonu</w:t>
            </w:r>
          </w:p>
          <w:p w:rsidR="007325E0" w:rsidRPr="005D44BC" w:rsidRDefault="007325E0" w:rsidP="007325E0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6" w:history="1">
              <w:r w:rsidRPr="005D44BC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5 Cdo 429/2014</w:t>
              </w:r>
            </w:hyperlink>
            <w:r w:rsidRPr="005D44B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271063" w:rsidRPr="005D44BC" w:rsidRDefault="00271063" w:rsidP="000157F2">
            <w:pPr>
              <w:rPr>
                <w:rFonts w:cstheme="minorHAnsi"/>
                <w:color w:val="474747"/>
                <w:sz w:val="24"/>
                <w:szCs w:val="24"/>
              </w:rPr>
            </w:pPr>
          </w:p>
        </w:tc>
      </w:tr>
      <w:tr w:rsidR="00BA550C" w:rsidRPr="005D44BC" w:rsidTr="0001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550C" w:rsidRPr="005D44BC" w:rsidRDefault="00BA550C" w:rsidP="000157F2">
            <w:pPr>
              <w:rPr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F612AA" w:rsidRPr="005D44BC" w:rsidRDefault="00F612AA" w:rsidP="00395640">
            <w:pPr>
              <w:rPr>
                <w:sz w:val="24"/>
                <w:szCs w:val="24"/>
              </w:rPr>
            </w:pPr>
          </w:p>
          <w:p w:rsidR="00CA683B" w:rsidRPr="005D44BC" w:rsidRDefault="00CA683B" w:rsidP="00395640">
            <w:pPr>
              <w:rPr>
                <w:sz w:val="24"/>
                <w:szCs w:val="24"/>
              </w:rPr>
            </w:pPr>
          </w:p>
        </w:tc>
      </w:tr>
      <w:tr w:rsidR="00F612AA" w:rsidRPr="005D44BC" w:rsidTr="003A5213">
        <w:tc>
          <w:tcPr>
            <w:tcW w:w="1101" w:type="dxa"/>
          </w:tcPr>
          <w:p w:rsidR="00F612AA" w:rsidRPr="005D44BC" w:rsidRDefault="00F612AA" w:rsidP="003A5213">
            <w:pPr>
              <w:jc w:val="center"/>
              <w:rPr>
                <w:color w:val="474747"/>
                <w:sz w:val="24"/>
                <w:szCs w:val="24"/>
              </w:rPr>
            </w:pPr>
            <w:r w:rsidRPr="005D44BC">
              <w:rPr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572E7692" wp14:editId="2C87AF35">
                  <wp:extent cx="542925" cy="542925"/>
                  <wp:effectExtent l="0" t="0" r="9525" b="9525"/>
                  <wp:docPr id="13" name="Obrázok 13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F612AA" w:rsidRPr="005D44BC" w:rsidRDefault="00F612AA" w:rsidP="00F612AA">
            <w:pPr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</w:pP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  <w:t>ZBIERKA STANOVÍSK NAJVYŠŠIEHOSÚDU A ROZHODNUTÍ SÚDOV SR</w:t>
            </w:r>
          </w:p>
          <w:p w:rsidR="00F612AA" w:rsidRPr="005D44BC" w:rsidRDefault="00CA683B" w:rsidP="003A5213">
            <w:pPr>
              <w:rPr>
                <w:rFonts w:cstheme="minorHAnsi"/>
                <w:b/>
                <w:bCs/>
                <w:color w:val="474747"/>
                <w:sz w:val="24"/>
                <w:szCs w:val="24"/>
              </w:rPr>
            </w:pP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6</w:t>
            </w:r>
            <w:r w:rsidR="00F612AA"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/2016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 w:rsidRPr="005D44BC">
              <w:rPr>
                <w:rFonts w:asciiTheme="minorHAnsi" w:hAnsiTheme="minorHAnsi"/>
                <w:sz w:val="24"/>
                <w:szCs w:val="24"/>
              </w:rPr>
              <w:t>Spoločný trest podľa § 41 ods. 3 Tr. zák. a dohoda o vine a treste</w:t>
            </w:r>
          </w:p>
          <w:p w:rsidR="005D44BC" w:rsidRPr="005D44BC" w:rsidRDefault="005D44BC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"aspi://module='jud'&amp;link='JUD1791270SK'&amp;dbtype='8'&amp;dbname='ju'&amp;ucin-k-dni='30.12.9999'"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5 Tost 11/2016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Splnenie podmienok podmienečného odkladu výkonu trestu odňatia slobody s probačným dohľadom</w:t>
            </w:r>
          </w:p>
          <w:p w:rsidR="005D44BC" w:rsidRPr="005D44BC" w:rsidRDefault="005D44BC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"aspi://module='jud'&amp;link='JUD1791269SK'&amp;dbtype='8'&amp;dbname='ju'&amp;ucin-k-dni='30.12.9999'"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5 Tdo 30/2015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Rozdiel medzi skutkovou a právnou vetou vo výroku odsudzujúceho rozsudku</w:t>
            </w:r>
          </w:p>
          <w:p w:rsidR="005D44BC" w:rsidRPr="005D44BC" w:rsidRDefault="005D44BC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"aspi://module='jud'&amp;link='JUD1791268SK'&amp;dbtype='8'&amp;dbname='ju'&amp;ucin-k-dni='30.12.9999'"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2 Tdo 62/2015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Okruh trestných činov, na ktoré sa vzťahuje ustanovenie § 76a Tr. por. o predĺžení lehoty väzby</w:t>
            </w:r>
          </w:p>
          <w:p w:rsidR="005D44BC" w:rsidRPr="005D44BC" w:rsidRDefault="005D44BC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"aspi://module='jud'&amp;link='JUD1791267SK'&amp;dbtype='8'&amp;dbname='ju'&amp;ucin-k-dni='30.12.9999'"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3 Tdo 78/2015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Ukončenie konania o výkone európskeho zatýkacieho rozkazu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"aspi://module='jud'&amp;link='JUD1791266SK'&amp;dbtype='8'&amp;dbname='ju'&amp;ucin-k-dni='30.12.9999'"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3 Urtost 4/2015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Kritériá posudzovania závažnosti prečinu pri prečine zanedbania povinnej výživy. Predbežná otázka a osobný stav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"aspi://module='jud'&amp;link='JUD1791265SK'&amp;dbtype='8'&amp;dbname='ju'&amp;ucin-k-dni='30.12.9999'"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2 Tdo 51/2015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Prerušenie trestného stíhania "vo veci" a plynutie premlčacej doby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"aspi://module='jud'&amp;link='JUD1791264SK'&amp;dbtype='8'&amp;dbname='ju'&amp;ucin-k-dni='30.12.9999'"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23 Tpo 15/2016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Okruh rozhodnutí, voči ktorým je prípustné dovolanie a okruh dovolacích dôvodov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"aspi://module='jud'&amp;link='JUD1791263SK'&amp;dbtype='8'&amp;dbname='ju'&amp;ucin-k-dni='30.12.9999'"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6 Tdo 46/2014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Obžalobný návrh pri pokračovacom trestnom čine a závažná procesná chyba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"aspi://module='jud'&amp;link='JUD1791262SK'&amp;dbtype='8'&amp;dbname='ju'&amp;ucin-k-dni='30.12.9999'"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2 Tost 35/2015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D44BC">
              <w:rPr>
                <w:rFonts w:asciiTheme="minorHAnsi" w:hAnsiTheme="minorHAnsi"/>
                <w:sz w:val="24"/>
                <w:szCs w:val="24"/>
              </w:rPr>
              <w:t>Príslušnosť súdu na rozhodnutie o väzbe po podaní obžaloby v prípade postúpenia veci inému súdu</w:t>
            </w:r>
          </w:p>
          <w:p w:rsidR="005D44BC" w:rsidRPr="005D44BC" w:rsidRDefault="008B73FB" w:rsidP="005D44BC">
            <w:pPr>
              <w:pStyle w:val="Obyajntext"/>
              <w:rPr>
                <w:rStyle w:val="Hypertextovprepojenie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D44BC">
              <w:rPr>
                <w:rFonts w:asciiTheme="minorHAnsi" w:hAnsiTheme="minorHAnsi"/>
                <w:sz w:val="24"/>
                <w:szCs w:val="24"/>
              </w:rPr>
              <w:instrText xml:space="preserve"> HYPERLINK "aspi://module='jud'&amp;link='JUD1791261SK'&amp;dbtype='8'&amp;dbname='ju'&amp;ucin-k-dni='30.12.9999'" </w:instrText>
            </w:r>
            <w:r w:rsidR="005D44BC">
              <w:rPr>
                <w:rFonts w:asciiTheme="minorHAnsi" w:hAnsiTheme="minorHAnsi"/>
                <w:sz w:val="24"/>
                <w:szCs w:val="24"/>
              </w:rPr>
            </w:r>
            <w:r w:rsidR="005D44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44BC" w:rsidRPr="005D44BC">
              <w:rPr>
                <w:rStyle w:val="Hypertextovprepojenie"/>
                <w:rFonts w:asciiTheme="minorHAnsi" w:hAnsiTheme="minorHAnsi"/>
                <w:sz w:val="24"/>
                <w:szCs w:val="24"/>
              </w:rPr>
              <w:t>2 Tost 45/2015</w:t>
            </w:r>
            <w:r>
              <w:rPr>
                <w:rStyle w:val="Hypertextovprepojenie"/>
                <w:rFonts w:asciiTheme="minorHAnsi" w:hAnsiTheme="minorHAnsi"/>
                <w:sz w:val="24"/>
                <w:szCs w:val="24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F612AA" w:rsidRPr="005D44BC" w:rsidRDefault="00F612AA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F612AA" w:rsidRPr="005D44BC" w:rsidRDefault="00F612AA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</w:tc>
      </w:tr>
      <w:tr w:rsidR="00F612AA" w:rsidRPr="005D44BC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612AA" w:rsidRPr="005D44BC" w:rsidRDefault="008B6567" w:rsidP="003A5213">
            <w:pPr>
              <w:rPr>
                <w:sz w:val="24"/>
                <w:szCs w:val="24"/>
              </w:rPr>
            </w:pPr>
            <w:r w:rsidRPr="005D44BC">
              <w:rPr>
                <w:noProof/>
                <w:color w:val="474747"/>
                <w:sz w:val="24"/>
                <w:szCs w:val="24"/>
                <w:lang w:eastAsia="sk-SK"/>
              </w:rPr>
              <w:drawing>
                <wp:inline distT="0" distB="0" distL="0" distR="0" wp14:anchorId="388DC99A" wp14:editId="327BE4EC">
                  <wp:extent cx="542925" cy="542925"/>
                  <wp:effectExtent l="0" t="0" r="9525" b="9525"/>
                  <wp:docPr id="17" name="Obrázok 1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8B6567" w:rsidP="008B6567">
            <w:pPr>
              <w:rPr>
                <w:rFonts w:cstheme="minorHAnsi"/>
                <w:b/>
                <w:color w:val="474747"/>
                <w:sz w:val="24"/>
                <w:szCs w:val="24"/>
                <w:u w:val="single"/>
              </w:rPr>
            </w:pPr>
            <w:r w:rsidRPr="005D44BC">
              <w:rPr>
                <w:rFonts w:cstheme="minorHAnsi"/>
                <w:b/>
                <w:color w:val="474747"/>
                <w:sz w:val="24"/>
                <w:szCs w:val="24"/>
                <w:u w:val="single"/>
              </w:rPr>
              <w:t>VÝBER Z JUDIKATÚRY</w:t>
            </w:r>
          </w:p>
          <w:p w:rsidR="008B6567" w:rsidRPr="005D44BC" w:rsidRDefault="008B73FB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  <w:r>
              <w:rPr>
                <w:rFonts w:cstheme="minorHAnsi"/>
                <w:color w:val="474747"/>
                <w:sz w:val="24"/>
                <w:szCs w:val="24"/>
              </w:rPr>
              <w:t>Andrej Poruban, Peter Kotira, Alexandra Čapkovičová, Katarína Balážová</w:t>
            </w:r>
          </w:p>
          <w:p w:rsidR="008B6567" w:rsidRDefault="008B73FB" w:rsidP="008B6567">
            <w:pPr>
              <w:rPr>
                <w:rFonts w:cstheme="minorHAnsi"/>
                <w:b/>
                <w:color w:val="474747"/>
                <w:sz w:val="24"/>
                <w:szCs w:val="24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</w:rPr>
              <w:t>Judikatúra vo veciach náhrady škody v pracovnom práve</w:t>
            </w:r>
          </w:p>
          <w:p w:rsidR="008B73FB" w:rsidRPr="005D44BC" w:rsidRDefault="008B73FB" w:rsidP="008B6567">
            <w:pPr>
              <w:rPr>
                <w:rFonts w:cstheme="minorHAnsi"/>
                <w:b/>
                <w:color w:val="474747"/>
                <w:sz w:val="24"/>
                <w:szCs w:val="24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</w:rPr>
              <w:t>Zo strany zamestnávateľa aj zamestnanca</w:t>
            </w:r>
          </w:p>
          <w:p w:rsidR="008B6567" w:rsidRPr="005D44BC" w:rsidRDefault="008B73FB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  <w:r>
              <w:rPr>
                <w:rFonts w:cstheme="minorHAnsi"/>
                <w:color w:val="474747"/>
                <w:sz w:val="24"/>
                <w:szCs w:val="24"/>
              </w:rPr>
              <w:t>Zodpovednosť za škodu v pracovnoprávnych vzťahoch je špecifickým vzťahom medzi zamestnávateľom a zamestnancom, ktorý vzniká ako dôsledok narušenia majetkovej alebo osobnej sféry zamestnanca alebo majetkovej sféry zamestnávateľa. Rozsudky, uznesenia a stanoviská súdov, týkajúce sa zodpovednosti za škodu v pracovnoprávnych vzťahoch</w:t>
            </w:r>
            <w:r w:rsidR="003561A3">
              <w:rPr>
                <w:rFonts w:cstheme="minorHAnsi"/>
                <w:color w:val="474747"/>
                <w:sz w:val="24"/>
                <w:szCs w:val="24"/>
              </w:rPr>
              <w:t>, majú nezastupiteľné miesto v právnej praxi, a to najmú z dôvodu rozmanitosti situácií, ktoré môžu založiť vznik zodpovednosti za škodu zamestnávateľa a zamestnanca.  Výber z judikatúry vo veciach zodpovednosti za škodu v pracovnoprávnych vzťahoch je nenahraditeľnou pomôckou a cenným zdrojom informácií nielen pre právnickú obec, ale aj pre širokú verejnosť.</w:t>
            </w:r>
          </w:p>
          <w:p w:rsidR="00CA0198" w:rsidRPr="005D44BC" w:rsidRDefault="00CA0198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CA0198" w:rsidRPr="005D44BC" w:rsidRDefault="00CA0198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  <w:r w:rsidRPr="005D44BC">
              <w:rPr>
                <w:rFonts w:cstheme="minorHAnsi"/>
                <w:color w:val="474747"/>
                <w:sz w:val="24"/>
                <w:szCs w:val="24"/>
              </w:rPr>
              <w:t>Peter Strapáč</w:t>
            </w:r>
          </w:p>
          <w:p w:rsidR="00CA0198" w:rsidRPr="005D44BC" w:rsidRDefault="003561A3" w:rsidP="008B6567">
            <w:pPr>
              <w:rPr>
                <w:rFonts w:cstheme="minorHAnsi"/>
                <w:b/>
                <w:color w:val="474747"/>
                <w:sz w:val="24"/>
                <w:szCs w:val="24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</w:rPr>
              <w:t>Judikatúra vo veciach záväzkových vzťahov v obchodnom práve</w:t>
            </w:r>
          </w:p>
          <w:p w:rsidR="00F612AA" w:rsidRPr="005D44BC" w:rsidRDefault="00CA0198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  <w:r w:rsidRPr="005D44BC">
              <w:rPr>
                <w:rFonts w:cstheme="minorHAnsi"/>
                <w:color w:val="474747"/>
                <w:sz w:val="24"/>
                <w:szCs w:val="24"/>
              </w:rPr>
              <w:lastRenderedPageBreak/>
              <w:t xml:space="preserve">Cieľom predkladaného výberu judikátov je napomôcť právnej praxi pri riešení </w:t>
            </w:r>
            <w:r w:rsidR="003561A3">
              <w:rPr>
                <w:rFonts w:cstheme="minorHAnsi"/>
                <w:color w:val="474747"/>
                <w:sz w:val="24"/>
                <w:szCs w:val="24"/>
              </w:rPr>
              <w:t>aplikačných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 problémov. </w:t>
            </w:r>
            <w:r w:rsidR="003561A3">
              <w:rPr>
                <w:rFonts w:cstheme="minorHAnsi"/>
                <w:color w:val="474747"/>
                <w:sz w:val="24"/>
                <w:szCs w:val="24"/>
              </w:rPr>
              <w:t>Je určená každému, kto má záujem o hlbšie štúdium obchodného práva.</w:t>
            </w:r>
          </w:p>
          <w:p w:rsidR="00F612AA" w:rsidRPr="005D44BC" w:rsidRDefault="00F612AA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F612AA" w:rsidRPr="005D44BC" w:rsidRDefault="00F612AA" w:rsidP="003A5213">
            <w:pPr>
              <w:rPr>
                <w:sz w:val="24"/>
                <w:szCs w:val="24"/>
              </w:rPr>
            </w:pPr>
          </w:p>
        </w:tc>
      </w:tr>
      <w:tr w:rsidR="008B6567" w:rsidRPr="005D44BC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8B6567" w:rsidP="003A5213">
            <w:pPr>
              <w:rPr>
                <w:sz w:val="24"/>
                <w:szCs w:val="24"/>
              </w:rPr>
            </w:pPr>
            <w:r w:rsidRPr="005D44BC">
              <w:rPr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5FCBDAE0" wp14:editId="2A989D37">
                  <wp:extent cx="542925" cy="542925"/>
                  <wp:effectExtent l="0" t="0" r="9525" b="9525"/>
                  <wp:docPr id="16" name="Obrázok 16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8B6567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V mesiaci </w:t>
            </w:r>
            <w:r w:rsidR="00A4645F">
              <w:rPr>
                <w:rFonts w:cstheme="minorHAnsi"/>
                <w:color w:val="474747"/>
                <w:sz w:val="24"/>
                <w:szCs w:val="24"/>
              </w:rPr>
              <w:t>august</w:t>
            </w:r>
            <w:bookmarkStart w:id="0" w:name="_GoBack"/>
            <w:bookmarkEnd w:id="0"/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 bolo pridaných </w:t>
            </w:r>
            <w:r w:rsidR="004F6CA7">
              <w:rPr>
                <w:rFonts w:cstheme="minorHAnsi"/>
                <w:b/>
                <w:color w:val="474747"/>
                <w:sz w:val="24"/>
                <w:szCs w:val="24"/>
              </w:rPr>
              <w:t>249</w:t>
            </w:r>
            <w:r w:rsidRPr="005D44BC">
              <w:rPr>
                <w:rFonts w:cstheme="minorHAnsi"/>
                <w:b/>
                <w:color w:val="474747"/>
                <w:sz w:val="24"/>
                <w:szCs w:val="24"/>
              </w:rPr>
              <w:t xml:space="preserve"> 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rozhodnutí </w:t>
            </w:r>
            <w:r w:rsidR="0033684D" w:rsidRPr="005D44BC">
              <w:rPr>
                <w:rFonts w:cstheme="minorHAnsi"/>
                <w:color w:val="474747"/>
                <w:sz w:val="24"/>
                <w:szCs w:val="24"/>
              </w:rPr>
              <w:t>Ústavného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 súdu SR</w:t>
            </w:r>
            <w:r w:rsidR="004F6CA7">
              <w:rPr>
                <w:rFonts w:cstheme="minorHAnsi"/>
                <w:color w:val="474747"/>
                <w:sz w:val="24"/>
                <w:szCs w:val="24"/>
              </w:rPr>
              <w:t xml:space="preserve">, </w:t>
            </w:r>
            <w:r w:rsidR="004F6CA7">
              <w:rPr>
                <w:rFonts w:cstheme="minorHAnsi"/>
                <w:b/>
                <w:color w:val="474747"/>
                <w:sz w:val="24"/>
                <w:szCs w:val="24"/>
              </w:rPr>
              <w:t xml:space="preserve">878 </w:t>
            </w:r>
            <w:r w:rsidR="004F6CA7">
              <w:rPr>
                <w:rFonts w:cstheme="minorHAnsi"/>
                <w:color w:val="474747"/>
                <w:sz w:val="24"/>
                <w:szCs w:val="24"/>
              </w:rPr>
              <w:t xml:space="preserve">rozhodnutí Najvyššieho súdu SR, </w:t>
            </w:r>
            <w:r w:rsidR="004F6CA7">
              <w:rPr>
                <w:rFonts w:cstheme="minorHAnsi"/>
                <w:b/>
                <w:color w:val="474747"/>
                <w:sz w:val="24"/>
                <w:szCs w:val="24"/>
              </w:rPr>
              <w:t xml:space="preserve">869 </w:t>
            </w:r>
            <w:r w:rsidR="004F6CA7">
              <w:rPr>
                <w:rFonts w:cstheme="minorHAnsi"/>
                <w:color w:val="474747"/>
                <w:sz w:val="24"/>
                <w:szCs w:val="24"/>
              </w:rPr>
              <w:t xml:space="preserve">rozhodnutí krajských súdov, </w:t>
            </w:r>
            <w:r w:rsidR="004F6CA7">
              <w:rPr>
                <w:rFonts w:cstheme="minorHAnsi"/>
                <w:b/>
                <w:color w:val="474747"/>
                <w:sz w:val="24"/>
                <w:szCs w:val="24"/>
              </w:rPr>
              <w:t xml:space="preserve">18615 </w:t>
            </w:r>
            <w:r w:rsidR="004F6CA7">
              <w:rPr>
                <w:rFonts w:cstheme="minorHAnsi"/>
                <w:color w:val="474747"/>
                <w:sz w:val="24"/>
                <w:szCs w:val="24"/>
              </w:rPr>
              <w:t>rozhodnutí okresných súdov a </w:t>
            </w:r>
            <w:r w:rsidR="004F6CA7">
              <w:rPr>
                <w:rFonts w:cstheme="minorHAnsi"/>
                <w:b/>
                <w:color w:val="474747"/>
                <w:sz w:val="24"/>
                <w:szCs w:val="24"/>
              </w:rPr>
              <w:t xml:space="preserve">11 </w:t>
            </w:r>
            <w:r w:rsidR="004F6CA7">
              <w:rPr>
                <w:rFonts w:cstheme="minorHAnsi"/>
                <w:color w:val="474747"/>
                <w:sz w:val="24"/>
                <w:szCs w:val="24"/>
              </w:rPr>
              <w:t>rozhodnutí Špecializovaného trestného súdu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. V súčasnosti sa v ASPI nachádza </w:t>
            </w: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2</w:t>
            </w:r>
            <w:r w:rsidR="0033684D"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7</w:t>
            </w: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 xml:space="preserve"> </w:t>
            </w:r>
            <w:r w:rsidR="004F6CA7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494</w:t>
            </w: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 xml:space="preserve"> 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rozhodnutí Ústavného súdu SR, </w:t>
            </w:r>
            <w:r w:rsidR="004F6CA7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51 101</w:t>
            </w: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 xml:space="preserve"> 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rozhodnutí Najvyššieho súdu SR a viac ako </w:t>
            </w:r>
            <w:r w:rsidR="004F6CA7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1 672 200</w:t>
            </w:r>
            <w:r w:rsidRPr="005D44BC">
              <w:rPr>
                <w:rFonts w:cstheme="minorHAnsi"/>
                <w:color w:val="474747"/>
                <w:sz w:val="24"/>
                <w:szCs w:val="24"/>
              </w:rPr>
              <w:t xml:space="preserve"> rozhodnutí nižších súdov.</w:t>
            </w:r>
          </w:p>
          <w:p w:rsidR="008B6567" w:rsidRPr="005D44BC" w:rsidRDefault="008B6567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8B6567" w:rsidRPr="005D44BC" w:rsidRDefault="008B6567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8B6567" w:rsidRPr="005D44BC" w:rsidRDefault="008B6567" w:rsidP="003A5213">
            <w:pPr>
              <w:rPr>
                <w:sz w:val="24"/>
                <w:szCs w:val="24"/>
              </w:rPr>
            </w:pPr>
          </w:p>
        </w:tc>
      </w:tr>
    </w:tbl>
    <w:p w:rsidR="00445600" w:rsidRPr="005D44BC" w:rsidRDefault="00445600" w:rsidP="00BA550C">
      <w:pPr>
        <w:rPr>
          <w:sz w:val="24"/>
          <w:szCs w:val="24"/>
        </w:rPr>
      </w:pPr>
    </w:p>
    <w:sectPr w:rsidR="00445600" w:rsidRPr="005D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596"/>
    <w:multiLevelType w:val="hybridMultilevel"/>
    <w:tmpl w:val="5C52495E"/>
    <w:lvl w:ilvl="0" w:tplc="648487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39E"/>
    <w:multiLevelType w:val="hybridMultilevel"/>
    <w:tmpl w:val="4AB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689"/>
    <w:multiLevelType w:val="hybridMultilevel"/>
    <w:tmpl w:val="192870A2"/>
    <w:lvl w:ilvl="0" w:tplc="541ACC4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FD9"/>
    <w:multiLevelType w:val="hybridMultilevel"/>
    <w:tmpl w:val="A61AE6DA"/>
    <w:lvl w:ilvl="0" w:tplc="779AD23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5FDD"/>
    <w:multiLevelType w:val="hybridMultilevel"/>
    <w:tmpl w:val="FD542AB6"/>
    <w:lvl w:ilvl="0" w:tplc="0DF6FD3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DB5"/>
    <w:multiLevelType w:val="multilevel"/>
    <w:tmpl w:val="831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D1B54"/>
    <w:multiLevelType w:val="hybridMultilevel"/>
    <w:tmpl w:val="3D2AF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268"/>
    <w:multiLevelType w:val="hybridMultilevel"/>
    <w:tmpl w:val="593475E0"/>
    <w:lvl w:ilvl="0" w:tplc="8334F2A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085"/>
    <w:multiLevelType w:val="hybridMultilevel"/>
    <w:tmpl w:val="B3B83618"/>
    <w:lvl w:ilvl="0" w:tplc="1CAC4BB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74A59"/>
    <w:multiLevelType w:val="hybridMultilevel"/>
    <w:tmpl w:val="88489AC0"/>
    <w:lvl w:ilvl="0" w:tplc="32B228A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2790"/>
    <w:rsid w:val="000731CB"/>
    <w:rsid w:val="000D70C6"/>
    <w:rsid w:val="001025D2"/>
    <w:rsid w:val="00110CA3"/>
    <w:rsid w:val="00175535"/>
    <w:rsid w:val="00190710"/>
    <w:rsid w:val="001B7DA0"/>
    <w:rsid w:val="001E2B9E"/>
    <w:rsid w:val="0021250D"/>
    <w:rsid w:val="002513BE"/>
    <w:rsid w:val="0025164D"/>
    <w:rsid w:val="00271063"/>
    <w:rsid w:val="0033684D"/>
    <w:rsid w:val="00343F0F"/>
    <w:rsid w:val="003561A3"/>
    <w:rsid w:val="00395640"/>
    <w:rsid w:val="00445600"/>
    <w:rsid w:val="0044626C"/>
    <w:rsid w:val="00472A58"/>
    <w:rsid w:val="00492AE6"/>
    <w:rsid w:val="004F6CA7"/>
    <w:rsid w:val="00520894"/>
    <w:rsid w:val="00534306"/>
    <w:rsid w:val="00585326"/>
    <w:rsid w:val="005C0343"/>
    <w:rsid w:val="005D44BC"/>
    <w:rsid w:val="006205A6"/>
    <w:rsid w:val="0069044F"/>
    <w:rsid w:val="006E6979"/>
    <w:rsid w:val="007007EF"/>
    <w:rsid w:val="00726D4C"/>
    <w:rsid w:val="007325E0"/>
    <w:rsid w:val="007660E0"/>
    <w:rsid w:val="00774211"/>
    <w:rsid w:val="007753A1"/>
    <w:rsid w:val="007B14D9"/>
    <w:rsid w:val="0080186B"/>
    <w:rsid w:val="00852469"/>
    <w:rsid w:val="00855405"/>
    <w:rsid w:val="0087681C"/>
    <w:rsid w:val="008B6567"/>
    <w:rsid w:val="008B73FB"/>
    <w:rsid w:val="0091568C"/>
    <w:rsid w:val="00A17A1B"/>
    <w:rsid w:val="00A35461"/>
    <w:rsid w:val="00A4491D"/>
    <w:rsid w:val="00A4645F"/>
    <w:rsid w:val="00A67830"/>
    <w:rsid w:val="00AC1321"/>
    <w:rsid w:val="00AC7146"/>
    <w:rsid w:val="00AE72EE"/>
    <w:rsid w:val="00AF283F"/>
    <w:rsid w:val="00B506E8"/>
    <w:rsid w:val="00B71E5A"/>
    <w:rsid w:val="00B84571"/>
    <w:rsid w:val="00BA550C"/>
    <w:rsid w:val="00BD3CB7"/>
    <w:rsid w:val="00BE15F5"/>
    <w:rsid w:val="00C12B4C"/>
    <w:rsid w:val="00C20188"/>
    <w:rsid w:val="00C97352"/>
    <w:rsid w:val="00CA0198"/>
    <w:rsid w:val="00CA683B"/>
    <w:rsid w:val="00CD29E2"/>
    <w:rsid w:val="00CE1003"/>
    <w:rsid w:val="00D01278"/>
    <w:rsid w:val="00D23EE7"/>
    <w:rsid w:val="00D83CD2"/>
    <w:rsid w:val="00DD1A16"/>
    <w:rsid w:val="00E468C9"/>
    <w:rsid w:val="00E73AC6"/>
    <w:rsid w:val="00E92857"/>
    <w:rsid w:val="00F10EBE"/>
    <w:rsid w:val="00F612AA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767-A5D5-470C-A873-7CEA8E9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paragraph" w:styleId="Odsekzoznamu">
    <w:name w:val="List Paragraph"/>
    <w:basedOn w:val="Normlny"/>
    <w:uiPriority w:val="34"/>
    <w:qFormat/>
    <w:rsid w:val="00E928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AC13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768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8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8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8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81C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91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jud'&amp;link='JUD1791279SK'&amp;dbtype='8'&amp;dbname='ju'&amp;ucin-k-dni='30.12.9999'" TargetMode="External"/><Relationship Id="rId13" Type="http://schemas.openxmlformats.org/officeDocument/2006/relationships/hyperlink" Target="aspi://module='jud'&amp;link='JUD1791274SK'&amp;dbtype='8'&amp;dbname='ju'&amp;ucin-k-dni='30.12.9999'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spi://module='jud'&amp;link='JUD1791280SK'&amp;dbtype='8'&amp;dbname='ju'&amp;ucin-k-dni='30.12.9999'" TargetMode="External"/><Relationship Id="rId12" Type="http://schemas.openxmlformats.org/officeDocument/2006/relationships/hyperlink" Target="aspi://module='jud'&amp;link='JUD1791275SK'&amp;dbtype='8'&amp;dbname='ju'&amp;ucin-k-dni='30.12.9999'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aspi://module='jud'&amp;link='JUD1791271SK'&amp;dbtype='8'&amp;dbname='ju'&amp;ucin-k-dni='30.12.9999'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spi://module='jud'&amp;link='JUD1791276SK'&amp;dbtype='8'&amp;dbname='ju'&amp;ucin-k-dni='30.12.9999'" TargetMode="External"/><Relationship Id="rId5" Type="http://schemas.openxmlformats.org/officeDocument/2006/relationships/image" Target="media/image1.jpeg"/><Relationship Id="rId15" Type="http://schemas.openxmlformats.org/officeDocument/2006/relationships/hyperlink" Target="aspi://module='jud'&amp;link='JUD1791272SK'&amp;dbtype='8'&amp;dbname='ju'&amp;ucin-k-dni='30.12.9999'" TargetMode="External"/><Relationship Id="rId10" Type="http://schemas.openxmlformats.org/officeDocument/2006/relationships/hyperlink" Target="aspi://module='jud'&amp;link='JUD1791277SK'&amp;dbtype='8'&amp;dbname='ju'&amp;ucin-k-dni='30.12.9999'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791278SK'&amp;dbtype='8'&amp;dbname='ju'&amp;ucin-k-dni='30.12.9999'" TargetMode="External"/><Relationship Id="rId14" Type="http://schemas.openxmlformats.org/officeDocument/2006/relationships/hyperlink" Target="aspi://module='jud'&amp;link='JUD1791273SK'&amp;dbtype='8'&amp;dbname='ju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6</cp:revision>
  <dcterms:created xsi:type="dcterms:W3CDTF">2016-09-12T19:23:00Z</dcterms:created>
  <dcterms:modified xsi:type="dcterms:W3CDTF">2016-09-12T19:44:00Z</dcterms:modified>
</cp:coreProperties>
</file>